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26.08.2014 N 1118</w:t>
              <w:br/>
              <w:t xml:space="preserve">"Об утверждении федерального государственного образовательного стандарта высшего образования по специальности 31.08.75 Стоматология ортопедическая (уровень подготовки кадров высшей квалификации)"</w:t>
              <w:br/>
              <w:t xml:space="preserve">(Зарегистрировано в Минюсте России 23.10.2014 N 34437)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октября 2014 г. N 34437</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26 августа 2014 г. N 1118</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ВЫСШЕГО ОБРАЗОВАНИЯ ПО СПЕЦИАЛЬНОСТИ 31.08.75 СТОМАТОЛОГИЯ</w:t>
      </w:r>
    </w:p>
    <w:p>
      <w:pPr>
        <w:pStyle w:val="2"/>
        <w:jc w:val="center"/>
      </w:pPr>
      <w:r>
        <w:rPr>
          <w:sz w:val="20"/>
        </w:rPr>
        <w:t xml:space="preserve">ОРТОПЕДИЧЕСКАЯ (УРОВЕНЬ ПОДГОТОВКИ КАДРОВ</w:t>
      </w:r>
    </w:p>
    <w:p>
      <w:pPr>
        <w:pStyle w:val="2"/>
        <w:jc w:val="center"/>
      </w:pPr>
      <w:r>
        <w:rPr>
          <w:sz w:val="20"/>
        </w:rPr>
        <w:t xml:space="preserve">ВЫСШЕЙ КВАЛИФИКАЦИИ)</w:t>
      </w:r>
    </w:p>
    <w:p>
      <w:pPr>
        <w:pStyle w:val="0"/>
        <w:jc w:val="center"/>
      </w:pPr>
      <w:r>
        <w:rPr>
          <w:sz w:val="20"/>
        </w:rPr>
      </w:r>
    </w:p>
    <w:p>
      <w:pPr>
        <w:pStyle w:val="0"/>
        <w:ind w:firstLine="540"/>
        <w:jc w:val="both"/>
      </w:pPr>
      <w:r>
        <w:rPr>
          <w:sz w:val="20"/>
        </w:rPr>
        <w:t xml:space="preserve">В соответствии с </w:t>
      </w:r>
      <w:r>
        <w:rPr>
          <w:sz w:val="20"/>
        </w:rPr>
        <w:t xml:space="preserve">подпунктом 5.2.42</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2" w:tooltip="ФЕДЕРАЛЬНЫЙ ГОСУДАРСТВЕННЫЙ ОБРАЗОВАТЕЛЬНЫЙ СТАНДАРТ">
        <w:r>
          <w:rPr>
            <w:sz w:val="20"/>
            <w:color w:val="0000ff"/>
          </w:rPr>
          <w:t xml:space="preserve">стандарт</w:t>
        </w:r>
      </w:hyperlink>
      <w:r>
        <w:rPr>
          <w:sz w:val="20"/>
        </w:rPr>
        <w:t xml:space="preserve"> высшего образования по специальности 31.08.75 Стоматология ортопедическая (уровень подготовки кадров высшей квалификации).</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26 августа 2014 г. N 1118</w:t>
      </w:r>
    </w:p>
    <w:p>
      <w:pPr>
        <w:pStyle w:val="0"/>
        <w:jc w:val="center"/>
      </w:pPr>
      <w:r>
        <w:rPr>
          <w:sz w:val="20"/>
        </w:rPr>
      </w:r>
    </w:p>
    <w:bookmarkStart w:id="32" w:name="P32"/>
    <w:bookmarkEnd w:id="32"/>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ВЫСШЕГО ОБРАЗОВАНИЯ</w:t>
      </w:r>
    </w:p>
    <w:p>
      <w:pPr>
        <w:pStyle w:val="2"/>
        <w:jc w:val="center"/>
      </w:pPr>
      <w:r>
        <w:rPr>
          <w:sz w:val="20"/>
        </w:rPr>
      </w:r>
    </w:p>
    <w:p>
      <w:pPr>
        <w:pStyle w:val="2"/>
        <w:jc w:val="center"/>
      </w:pPr>
      <w:r>
        <w:rPr>
          <w:sz w:val="20"/>
        </w:rPr>
        <w:t xml:space="preserve">УРОВЕНЬ ВЫСШЕГО ОБРАЗОВАНИЯ</w:t>
      </w:r>
    </w:p>
    <w:p>
      <w:pPr>
        <w:pStyle w:val="2"/>
        <w:jc w:val="center"/>
      </w:pPr>
      <w:r>
        <w:rPr>
          <w:sz w:val="20"/>
        </w:rPr>
        <w:t xml:space="preserve">ПОДГОТОВКА КАДРОВ ВЫСШЕЙ КВАЛИФИКАЦИИ</w:t>
      </w:r>
    </w:p>
    <w:p>
      <w:pPr>
        <w:pStyle w:val="2"/>
        <w:jc w:val="center"/>
      </w:pPr>
      <w:r>
        <w:rPr>
          <w:sz w:val="20"/>
        </w:rPr>
      </w:r>
    </w:p>
    <w:p>
      <w:pPr>
        <w:pStyle w:val="2"/>
        <w:jc w:val="center"/>
      </w:pPr>
      <w:r>
        <w:rPr>
          <w:sz w:val="20"/>
        </w:rPr>
        <w:t xml:space="preserve">СПЕЦИАЛЬНОСТЬ</w:t>
      </w:r>
    </w:p>
    <w:p>
      <w:pPr>
        <w:pStyle w:val="2"/>
        <w:jc w:val="center"/>
      </w:pPr>
      <w:r>
        <w:rPr>
          <w:sz w:val="20"/>
        </w:rPr>
        <w:t xml:space="preserve">31.08.75 СТОМАТОЛОГИЯ ОРТОПЕДИЧЕСКАЯ</w:t>
      </w:r>
    </w:p>
    <w:p>
      <w:pPr>
        <w:pStyle w:val="0"/>
        <w:jc w:val="center"/>
      </w:pPr>
      <w:r>
        <w:rPr>
          <w:sz w:val="20"/>
        </w:rPr>
      </w:r>
    </w:p>
    <w:p>
      <w:pPr>
        <w:pStyle w:val="0"/>
        <w:outlineLvl w:val="1"/>
        <w:jc w:val="center"/>
      </w:pPr>
      <w:r>
        <w:rPr>
          <w:sz w:val="20"/>
        </w:rPr>
        <w:t xml:space="preserve">I. ОБЛАСТЬ ПРИМЕНЕНИЯ</w:t>
      </w:r>
    </w:p>
    <w:p>
      <w:pPr>
        <w:pStyle w:val="0"/>
        <w:jc w:val="center"/>
      </w:pPr>
      <w:r>
        <w:rPr>
          <w:sz w:val="20"/>
        </w:rPr>
      </w:r>
    </w:p>
    <w:p>
      <w:pPr>
        <w:pStyle w:val="0"/>
        <w:ind w:firstLine="540"/>
        <w:jc w:val="both"/>
      </w:pPr>
      <w:r>
        <w:rPr>
          <w:sz w:val="20"/>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31.08.75 Стоматология ортопедическая (далее соответственно - программа ординатуры, специальность).</w:t>
      </w:r>
    </w:p>
    <w:p>
      <w:pPr>
        <w:pStyle w:val="0"/>
        <w:ind w:firstLine="540"/>
        <w:jc w:val="both"/>
      </w:pPr>
      <w:r>
        <w:rPr>
          <w:sz w:val="20"/>
        </w:rPr>
      </w:r>
    </w:p>
    <w:p>
      <w:pPr>
        <w:pStyle w:val="0"/>
        <w:outlineLvl w:val="1"/>
        <w:jc w:val="center"/>
      </w:pPr>
      <w:r>
        <w:rPr>
          <w:sz w:val="20"/>
        </w:rPr>
        <w:t xml:space="preserve">II. ИСПОЛЬЗУЕМЫЕ СОКРАЩЕНИЯ</w:t>
      </w:r>
    </w:p>
    <w:p>
      <w:pPr>
        <w:pStyle w:val="0"/>
        <w:ind w:firstLine="540"/>
        <w:jc w:val="both"/>
      </w:pPr>
      <w:r>
        <w:rPr>
          <w:sz w:val="20"/>
        </w:rPr>
      </w:r>
    </w:p>
    <w:p>
      <w:pPr>
        <w:pStyle w:val="0"/>
        <w:ind w:firstLine="540"/>
        <w:jc w:val="both"/>
      </w:pPr>
      <w:r>
        <w:rPr>
          <w:sz w:val="20"/>
        </w:rPr>
        <w:t xml:space="preserve">В настоящем федеральном государственном образовательном стандарте используются следующие сокращения:</w:t>
      </w:r>
    </w:p>
    <w:p>
      <w:pPr>
        <w:pStyle w:val="0"/>
        <w:spacing w:before="200" w:line-rule="auto"/>
        <w:ind w:firstLine="540"/>
        <w:jc w:val="both"/>
      </w:pPr>
      <w:r>
        <w:rPr>
          <w:sz w:val="20"/>
        </w:rPr>
        <w:t xml:space="preserve">УК - универсальные компетенции;</w:t>
      </w:r>
    </w:p>
    <w:p>
      <w:pPr>
        <w:pStyle w:val="0"/>
        <w:spacing w:before="200" w:line-rule="auto"/>
        <w:ind w:firstLine="540"/>
        <w:jc w:val="both"/>
      </w:pPr>
      <w:r>
        <w:rPr>
          <w:sz w:val="20"/>
        </w:rPr>
        <w:t xml:space="preserve">ПК - профессиональные компетенции;</w:t>
      </w:r>
    </w:p>
    <w:p>
      <w:pPr>
        <w:pStyle w:val="0"/>
        <w:spacing w:before="200" w:line-rule="auto"/>
        <w:ind w:firstLine="540"/>
        <w:jc w:val="both"/>
      </w:pPr>
      <w:r>
        <w:rPr>
          <w:sz w:val="20"/>
        </w:rPr>
        <w:t xml:space="preserve">ФГОС ВО - федеральный государственный образовательный стандарт высшего образования;</w:t>
      </w:r>
    </w:p>
    <w:p>
      <w:pPr>
        <w:pStyle w:val="0"/>
        <w:spacing w:before="200" w:line-rule="auto"/>
        <w:ind w:firstLine="540"/>
        <w:jc w:val="both"/>
      </w:pPr>
      <w:r>
        <w:rPr>
          <w:sz w:val="20"/>
        </w:rPr>
        <w:t xml:space="preserve">сетевая форма - сетевая форма реализации образовательных программ.</w:t>
      </w:r>
    </w:p>
    <w:p>
      <w:pPr>
        <w:pStyle w:val="0"/>
        <w:ind w:firstLine="540"/>
        <w:jc w:val="both"/>
      </w:pPr>
      <w:r>
        <w:rPr>
          <w:sz w:val="20"/>
        </w:rPr>
      </w:r>
    </w:p>
    <w:p>
      <w:pPr>
        <w:pStyle w:val="0"/>
        <w:outlineLvl w:val="1"/>
        <w:jc w:val="center"/>
      </w:pPr>
      <w:r>
        <w:rPr>
          <w:sz w:val="20"/>
        </w:rPr>
        <w:t xml:space="preserve">III. ХАРАКТЕРИСТИКА СПЕЦИАЛЬНОСТИ</w:t>
      </w:r>
    </w:p>
    <w:p>
      <w:pPr>
        <w:pStyle w:val="0"/>
        <w:ind w:firstLine="540"/>
        <w:jc w:val="both"/>
      </w:pPr>
      <w:r>
        <w:rPr>
          <w:sz w:val="20"/>
        </w:rPr>
      </w:r>
    </w:p>
    <w:p>
      <w:pPr>
        <w:pStyle w:val="0"/>
        <w:ind w:firstLine="540"/>
        <w:jc w:val="both"/>
      </w:pPr>
      <w:r>
        <w:rPr>
          <w:sz w:val="20"/>
        </w:rPr>
        <w:t xml:space="preserve">3.1. Получение образования по программе ординатуры допускается только в организации, осуществляющей образовательную деятельность (далее - организация).</w:t>
      </w:r>
    </w:p>
    <w:p>
      <w:pPr>
        <w:pStyle w:val="0"/>
        <w:spacing w:before="200" w:line-rule="auto"/>
        <w:ind w:firstLine="540"/>
        <w:jc w:val="both"/>
      </w:pPr>
      <w:r>
        <w:rPr>
          <w:sz w:val="20"/>
        </w:rPr>
        <w:t xml:space="preserve">3.2. Обучение по программе ординатуры в организациях осуществляется в очной форме обучения.</w:t>
      </w:r>
    </w:p>
    <w:p>
      <w:pPr>
        <w:pStyle w:val="0"/>
        <w:spacing w:before="200" w:line-rule="auto"/>
        <w:ind w:firstLine="540"/>
        <w:jc w:val="both"/>
      </w:pPr>
      <w:r>
        <w:rPr>
          <w:sz w:val="20"/>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00" w:line-rule="auto"/>
        <w:ind w:firstLine="540"/>
        <w:jc w:val="both"/>
      </w:pPr>
      <w:r>
        <w:rPr>
          <w:sz w:val="20"/>
        </w:rPr>
        <w:t xml:space="preserve">3.3. Срок получения образования по программе ординатуры:</w:t>
      </w:r>
    </w:p>
    <w:p>
      <w:pPr>
        <w:pStyle w:val="0"/>
        <w:spacing w:before="200" w:line-rule="auto"/>
        <w:ind w:firstLine="540"/>
        <w:jc w:val="both"/>
      </w:pPr>
      <w:r>
        <w:rPr>
          <w:sz w:val="20"/>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00" w:line-rule="auto"/>
        <w:ind w:firstLine="540"/>
        <w:jc w:val="both"/>
      </w:pPr>
      <w:r>
        <w:rPr>
          <w:sz w:val="20"/>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00" w:line-rule="auto"/>
        <w:ind w:firstLine="540"/>
        <w:jc w:val="both"/>
      </w:pPr>
      <w:r>
        <w:rPr>
          <w:sz w:val="20"/>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0"/>
            <w:color w:val="0000ff"/>
          </w:rPr>
          <w:t xml:space="preserve">Порядком</w:t>
        </w:r>
      </w:hyperlink>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00" w:line-rule="auto"/>
        <w:ind w:firstLine="540"/>
        <w:jc w:val="both"/>
      </w:pPr>
      <w:r>
        <w:rPr>
          <w:sz w:val="20"/>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3.5. Реализация программы ординатуры возможна с использованием сетевой формы.</w:t>
      </w:r>
    </w:p>
    <w:p>
      <w:pPr>
        <w:pStyle w:val="0"/>
        <w:spacing w:before="200" w:line-rule="auto"/>
        <w:ind w:firstLine="540"/>
        <w:jc w:val="both"/>
      </w:pPr>
      <w:r>
        <w:rPr>
          <w:sz w:val="20"/>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ind w:firstLine="540"/>
        <w:jc w:val="both"/>
      </w:pPr>
      <w:r>
        <w:rPr>
          <w:sz w:val="20"/>
        </w:rPr>
      </w:r>
    </w:p>
    <w:p>
      <w:pPr>
        <w:pStyle w:val="0"/>
        <w:outlineLvl w:val="1"/>
        <w:jc w:val="center"/>
      </w:pPr>
      <w:r>
        <w:rPr>
          <w:sz w:val="20"/>
        </w:rPr>
        <w:t xml:space="preserve">IV. ХАРАКТЕРИСТИКА ПРОФЕССИОНАЛЬНОЙ ДЕЯТЕЛЬНОСТИ</w:t>
      </w:r>
    </w:p>
    <w:p>
      <w:pPr>
        <w:pStyle w:val="0"/>
        <w:jc w:val="center"/>
      </w:pPr>
      <w:r>
        <w:rPr>
          <w:sz w:val="20"/>
        </w:rPr>
        <w:t xml:space="preserve">ВЫПУСКНИКОВ, ОСВОИВШИХ ПРОГРАММУ ОРДИНАТУРЫ</w:t>
      </w:r>
    </w:p>
    <w:p>
      <w:pPr>
        <w:pStyle w:val="0"/>
        <w:jc w:val="center"/>
      </w:pPr>
      <w:r>
        <w:rPr>
          <w:sz w:val="20"/>
        </w:rPr>
      </w:r>
    </w:p>
    <w:p>
      <w:pPr>
        <w:pStyle w:val="0"/>
        <w:ind w:firstLine="540"/>
        <w:jc w:val="both"/>
      </w:pPr>
      <w:r>
        <w:rPr>
          <w:sz w:val="20"/>
        </w:rP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стоматологической помощи в соответствии с установленными требованиями и стандартами в сфере здравоохранения.</w:t>
      </w:r>
    </w:p>
    <w:p>
      <w:pPr>
        <w:pStyle w:val="0"/>
        <w:spacing w:before="200" w:line-rule="auto"/>
        <w:ind w:firstLine="540"/>
        <w:jc w:val="both"/>
      </w:pPr>
      <w:r>
        <w:rPr>
          <w:sz w:val="20"/>
        </w:rPr>
        <w:t xml:space="preserve">4.2. Объектами профессиональной деятельности выпускников, освоивших программу ординатуры, являются:</w:t>
      </w:r>
    </w:p>
    <w:p>
      <w:pPr>
        <w:pStyle w:val="0"/>
        <w:spacing w:before="200" w:line-rule="auto"/>
        <w:ind w:firstLine="540"/>
        <w:jc w:val="both"/>
      </w:pPr>
      <w:r>
        <w:rPr>
          <w:sz w:val="20"/>
        </w:rPr>
        <w:t xml:space="preserve">физические лица (пациенты) в возрасте от 0 до 15 лет, от 15 до 18 лет (далее - подростки) и в возрасте старше 18 лет (далее - взрослые);</w:t>
      </w:r>
    </w:p>
    <w:p>
      <w:pPr>
        <w:pStyle w:val="0"/>
        <w:spacing w:before="200" w:line-rule="auto"/>
        <w:ind w:firstLine="540"/>
        <w:jc w:val="both"/>
      </w:pPr>
      <w:r>
        <w:rPr>
          <w:sz w:val="20"/>
        </w:rPr>
        <w:t xml:space="preserve">население;</w:t>
      </w:r>
    </w:p>
    <w:p>
      <w:pPr>
        <w:pStyle w:val="0"/>
        <w:spacing w:before="200" w:line-rule="auto"/>
        <w:ind w:firstLine="540"/>
        <w:jc w:val="both"/>
      </w:pPr>
      <w:r>
        <w:rPr>
          <w:sz w:val="20"/>
        </w:rPr>
        <w:t xml:space="preserve">совокупность средств и технологий, предусмотренных при оказании стоматологической помощи и направленных на создание условий для охраны здоровья граждан.</w:t>
      </w:r>
    </w:p>
    <w:p>
      <w:pPr>
        <w:pStyle w:val="0"/>
        <w:spacing w:before="200" w:line-rule="auto"/>
        <w:ind w:firstLine="540"/>
        <w:jc w:val="both"/>
      </w:pPr>
      <w:r>
        <w:rPr>
          <w:sz w:val="20"/>
        </w:rPr>
        <w:t xml:space="preserve">4.3. Виды профессиональной деятельности, к которым готовятся выпускники, освоившие программу ординатуры:</w:t>
      </w:r>
    </w:p>
    <w:p>
      <w:pPr>
        <w:pStyle w:val="0"/>
        <w:spacing w:before="200" w:line-rule="auto"/>
        <w:ind w:firstLine="540"/>
        <w:jc w:val="both"/>
      </w:pPr>
      <w:r>
        <w:rPr>
          <w:sz w:val="20"/>
        </w:rPr>
        <w:t xml:space="preserve">профилактическая;</w:t>
      </w:r>
    </w:p>
    <w:p>
      <w:pPr>
        <w:pStyle w:val="0"/>
        <w:spacing w:before="200" w:line-rule="auto"/>
        <w:ind w:firstLine="540"/>
        <w:jc w:val="both"/>
      </w:pPr>
      <w:r>
        <w:rPr>
          <w:sz w:val="20"/>
        </w:rPr>
        <w:t xml:space="preserve">диагностическая;</w:t>
      </w:r>
    </w:p>
    <w:p>
      <w:pPr>
        <w:pStyle w:val="0"/>
        <w:spacing w:before="200" w:line-rule="auto"/>
        <w:ind w:firstLine="540"/>
        <w:jc w:val="both"/>
      </w:pPr>
      <w:r>
        <w:rPr>
          <w:sz w:val="20"/>
        </w:rPr>
        <w:t xml:space="preserve">лечебная;</w:t>
      </w:r>
    </w:p>
    <w:p>
      <w:pPr>
        <w:pStyle w:val="0"/>
        <w:spacing w:before="200" w:line-rule="auto"/>
        <w:ind w:firstLine="540"/>
        <w:jc w:val="both"/>
      </w:pPr>
      <w:r>
        <w:rPr>
          <w:sz w:val="20"/>
        </w:rPr>
        <w:t xml:space="preserve">реабилитационная;</w:t>
      </w:r>
    </w:p>
    <w:p>
      <w:pPr>
        <w:pStyle w:val="0"/>
        <w:spacing w:before="200" w:line-rule="auto"/>
        <w:ind w:firstLine="540"/>
        <w:jc w:val="both"/>
      </w:pPr>
      <w:r>
        <w:rPr>
          <w:sz w:val="20"/>
        </w:rPr>
        <w:t xml:space="preserve">психолого-педагогическая;</w:t>
      </w:r>
    </w:p>
    <w:p>
      <w:pPr>
        <w:pStyle w:val="0"/>
        <w:spacing w:before="200" w:line-rule="auto"/>
        <w:ind w:firstLine="540"/>
        <w:jc w:val="both"/>
      </w:pPr>
      <w:r>
        <w:rPr>
          <w:sz w:val="20"/>
        </w:rPr>
        <w:t xml:space="preserve">организационно-управленческая.</w:t>
      </w:r>
    </w:p>
    <w:p>
      <w:pPr>
        <w:pStyle w:val="0"/>
        <w:spacing w:before="200" w:line-rule="auto"/>
        <w:ind w:firstLine="540"/>
        <w:jc w:val="both"/>
      </w:pPr>
      <w:r>
        <w:rPr>
          <w:sz w:val="20"/>
        </w:rPr>
        <w:t xml:space="preserve">Программа ординатуры включает в себя все виды профессиональной деятельности, к которым готовится ординатор.</w:t>
      </w:r>
    </w:p>
    <w:p>
      <w:pPr>
        <w:pStyle w:val="0"/>
        <w:spacing w:before="200" w:line-rule="auto"/>
        <w:ind w:firstLine="540"/>
        <w:jc w:val="both"/>
      </w:pPr>
      <w:r>
        <w:rPr>
          <w:sz w:val="20"/>
        </w:rPr>
        <w:t xml:space="preserve">4.4. Выпускник, освоивший программу ординатуры, готов решать следующие профессиональные задачи:</w:t>
      </w:r>
    </w:p>
    <w:p>
      <w:pPr>
        <w:pStyle w:val="0"/>
        <w:spacing w:before="200" w:line-rule="auto"/>
        <w:ind w:firstLine="540"/>
        <w:jc w:val="both"/>
      </w:pPr>
      <w:r>
        <w:rPr>
          <w:sz w:val="20"/>
        </w:rPr>
        <w:t xml:space="preserve">профилактическая деятельность:</w:t>
      </w:r>
    </w:p>
    <w:p>
      <w:pPr>
        <w:pStyle w:val="0"/>
        <w:spacing w:before="200" w:line-rule="auto"/>
        <w:ind w:firstLine="540"/>
        <w:jc w:val="both"/>
      </w:pPr>
      <w:r>
        <w:rPr>
          <w:sz w:val="20"/>
        </w:rPr>
        <w:t xml:space="preserve">предупреждение возникновения стоматологических заболеваний среди населения путем проведения профилактических и противоэпидемических мероприятий;</w:t>
      </w:r>
    </w:p>
    <w:p>
      <w:pPr>
        <w:pStyle w:val="0"/>
        <w:spacing w:before="200" w:line-rule="auto"/>
        <w:ind w:firstLine="540"/>
        <w:jc w:val="both"/>
      </w:pPr>
      <w:r>
        <w:rPr>
          <w:sz w:val="20"/>
        </w:rPr>
        <w:t xml:space="preserve">участие в проведении профилактических медицинских осмотров, диспансеризации, диспансерного наблюдения;</w:t>
      </w:r>
    </w:p>
    <w:p>
      <w:pPr>
        <w:pStyle w:val="0"/>
        <w:spacing w:before="200" w:line-rule="auto"/>
        <w:ind w:firstLine="540"/>
        <w:jc w:val="both"/>
      </w:pPr>
      <w:r>
        <w:rPr>
          <w:sz w:val="20"/>
        </w:rPr>
        <w:t xml:space="preserve">проведение сбора и медико-статистического анализа информации о показателях стоматологической заболеваемости различных возрастно-половых групп и ее влияния на состояние их здоровья;</w:t>
      </w:r>
    </w:p>
    <w:p>
      <w:pPr>
        <w:pStyle w:val="0"/>
        <w:spacing w:before="200" w:line-rule="auto"/>
        <w:ind w:firstLine="540"/>
        <w:jc w:val="both"/>
      </w:pPr>
      <w:r>
        <w:rPr>
          <w:sz w:val="20"/>
        </w:rPr>
        <w:t xml:space="preserve">диагностическая деятельность:</w:t>
      </w:r>
    </w:p>
    <w:p>
      <w:pPr>
        <w:pStyle w:val="0"/>
        <w:spacing w:before="200" w:line-rule="auto"/>
        <w:ind w:firstLine="540"/>
        <w:jc w:val="both"/>
      </w:pPr>
      <w:r>
        <w:rPr>
          <w:sz w:val="20"/>
        </w:rPr>
        <w:t xml:space="preserve">диагностика стоматологических заболеваний и патологических состояний пациентов;</w:t>
      </w:r>
    </w:p>
    <w:p>
      <w:pPr>
        <w:pStyle w:val="0"/>
        <w:spacing w:before="200" w:line-rule="auto"/>
        <w:ind w:firstLine="540"/>
        <w:jc w:val="both"/>
      </w:pPr>
      <w:r>
        <w:rPr>
          <w:sz w:val="20"/>
        </w:rPr>
        <w:t xml:space="preserve">проведение экспертизы временной нетрудоспособности и участие в иных видах медицинской экспертизы;</w:t>
      </w:r>
    </w:p>
    <w:p>
      <w:pPr>
        <w:pStyle w:val="0"/>
        <w:spacing w:before="200" w:line-rule="auto"/>
        <w:ind w:firstLine="540"/>
        <w:jc w:val="both"/>
      </w:pPr>
      <w:r>
        <w:rPr>
          <w:sz w:val="20"/>
        </w:rPr>
        <w:t xml:space="preserve">лечебная деятельность:</w:t>
      </w:r>
    </w:p>
    <w:p>
      <w:pPr>
        <w:pStyle w:val="0"/>
        <w:spacing w:before="200" w:line-rule="auto"/>
        <w:ind w:firstLine="540"/>
        <w:jc w:val="both"/>
      </w:pPr>
      <w:r>
        <w:rPr>
          <w:sz w:val="20"/>
        </w:rPr>
        <w:t xml:space="preserve">оказание ортопедической стоматологической помощи пациентам;</w:t>
      </w:r>
    </w:p>
    <w:p>
      <w:pPr>
        <w:pStyle w:val="0"/>
        <w:spacing w:before="200" w:line-rule="auto"/>
        <w:ind w:firstLine="540"/>
        <w:jc w:val="both"/>
      </w:pPr>
      <w:r>
        <w:rPr>
          <w:sz w:val="20"/>
        </w:rPr>
        <w:t xml:space="preserve">участие в оказании медицинской помощи при чрезвычайных ситуациях, в том числе участие в медицинской эвакуации;</w:t>
      </w:r>
    </w:p>
    <w:p>
      <w:pPr>
        <w:pStyle w:val="0"/>
        <w:spacing w:before="200" w:line-rule="auto"/>
        <w:ind w:firstLine="540"/>
        <w:jc w:val="both"/>
      </w:pPr>
      <w:r>
        <w:rPr>
          <w:sz w:val="20"/>
        </w:rPr>
        <w:t xml:space="preserve">реабилитационная деятельность:</w:t>
      </w:r>
    </w:p>
    <w:p>
      <w:pPr>
        <w:pStyle w:val="0"/>
        <w:spacing w:before="200" w:line-rule="auto"/>
        <w:ind w:firstLine="540"/>
        <w:jc w:val="both"/>
      </w:pPr>
      <w:r>
        <w:rPr>
          <w:sz w:val="20"/>
        </w:rPr>
        <w:t xml:space="preserve">проведение медицинской реабилитации и санаторно-курортного лечения пациентов со стоматологическими заболеваниями;</w:t>
      </w:r>
    </w:p>
    <w:p>
      <w:pPr>
        <w:pStyle w:val="0"/>
        <w:spacing w:before="200" w:line-rule="auto"/>
        <w:ind w:firstLine="540"/>
        <w:jc w:val="both"/>
      </w:pPr>
      <w:r>
        <w:rPr>
          <w:sz w:val="20"/>
        </w:rPr>
        <w:t xml:space="preserve">психолого-педагогическая деятельность:</w:t>
      </w:r>
    </w:p>
    <w:p>
      <w:pPr>
        <w:pStyle w:val="0"/>
        <w:spacing w:before="200" w:line-rule="auto"/>
        <w:ind w:firstLine="540"/>
        <w:jc w:val="both"/>
      </w:pPr>
      <w:r>
        <w:rPr>
          <w:sz w:val="20"/>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0"/>
        <w:spacing w:before="200" w:line-rule="auto"/>
        <w:ind w:firstLine="540"/>
        <w:jc w:val="both"/>
      </w:pPr>
      <w:r>
        <w:rPr>
          <w:sz w:val="20"/>
        </w:rPr>
        <w:t xml:space="preserve">организационно-управленческая деятельность:</w:t>
      </w:r>
    </w:p>
    <w:p>
      <w:pPr>
        <w:pStyle w:val="0"/>
        <w:spacing w:before="200" w:line-rule="auto"/>
        <w:ind w:firstLine="540"/>
        <w:jc w:val="both"/>
      </w:pPr>
      <w:r>
        <w:rPr>
          <w:sz w:val="20"/>
        </w:rPr>
        <w:t xml:space="preserve">применение основных принципов организации оказания стоматологической помощи в медицинских организациях и их структурных подразделениях;</w:t>
      </w:r>
    </w:p>
    <w:p>
      <w:pPr>
        <w:pStyle w:val="0"/>
        <w:spacing w:before="200" w:line-rule="auto"/>
        <w:ind w:firstLine="540"/>
        <w:jc w:val="both"/>
      </w:pPr>
      <w:r>
        <w:rPr>
          <w:sz w:val="20"/>
        </w:rPr>
        <w:t xml:space="preserve">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0"/>
        <w:spacing w:before="200" w:line-rule="auto"/>
        <w:ind w:firstLine="540"/>
        <w:jc w:val="both"/>
      </w:pPr>
      <w:r>
        <w:rPr>
          <w:sz w:val="20"/>
        </w:rPr>
        <w:t xml:space="preserve">ведение учетно-отчетной документации в медицинских организациях и ее структурных подразделениях;</w:t>
      </w:r>
    </w:p>
    <w:p>
      <w:pPr>
        <w:pStyle w:val="0"/>
        <w:spacing w:before="200" w:line-rule="auto"/>
        <w:ind w:firstLine="540"/>
        <w:jc w:val="both"/>
      </w:pPr>
      <w:r>
        <w:rPr>
          <w:sz w:val="20"/>
        </w:rPr>
        <w:t xml:space="preserve">организация проведения медицинской экспертизы;</w:t>
      </w:r>
    </w:p>
    <w:p>
      <w:pPr>
        <w:pStyle w:val="0"/>
        <w:spacing w:before="200" w:line-rule="auto"/>
        <w:ind w:firstLine="540"/>
        <w:jc w:val="both"/>
      </w:pPr>
      <w:r>
        <w:rPr>
          <w:sz w:val="20"/>
        </w:rPr>
        <w:t xml:space="preserve">участие в организации оценки качества оказания стоматологической помощи пациентам;</w:t>
      </w:r>
    </w:p>
    <w:p>
      <w:pPr>
        <w:pStyle w:val="0"/>
        <w:spacing w:before="200" w:line-rule="auto"/>
        <w:ind w:firstLine="540"/>
        <w:jc w:val="both"/>
      </w:pPr>
      <w:r>
        <w:rPr>
          <w:sz w:val="20"/>
        </w:rPr>
        <w:t xml:space="preserve">соблюдение основных требований информационной безопасности.</w:t>
      </w:r>
    </w:p>
    <w:p>
      <w:pPr>
        <w:pStyle w:val="0"/>
        <w:ind w:firstLine="540"/>
        <w:jc w:val="both"/>
      </w:pPr>
      <w:r>
        <w:rPr>
          <w:sz w:val="20"/>
        </w:rPr>
      </w:r>
    </w:p>
    <w:p>
      <w:pPr>
        <w:pStyle w:val="0"/>
        <w:outlineLvl w:val="1"/>
        <w:jc w:val="center"/>
      </w:pPr>
      <w:r>
        <w:rPr>
          <w:sz w:val="20"/>
        </w:rPr>
        <w:t xml:space="preserve">V. ТРЕБОВАНИЯ К РЕЗУЛЬТАТАМ ОСВОЕНИЯ ПРОГРАММЫ ОРДИНАТУРЫ</w:t>
      </w:r>
    </w:p>
    <w:p>
      <w:pPr>
        <w:pStyle w:val="0"/>
        <w:ind w:firstLine="540"/>
        <w:jc w:val="both"/>
      </w:pPr>
      <w:r>
        <w:rPr>
          <w:sz w:val="20"/>
        </w:rPr>
      </w:r>
    </w:p>
    <w:p>
      <w:pPr>
        <w:pStyle w:val="0"/>
        <w:ind w:firstLine="540"/>
        <w:jc w:val="both"/>
      </w:pPr>
      <w:r>
        <w:rPr>
          <w:sz w:val="20"/>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00" w:line-rule="auto"/>
        <w:ind w:firstLine="540"/>
        <w:jc w:val="both"/>
      </w:pPr>
      <w:r>
        <w:rPr>
          <w:sz w:val="20"/>
        </w:rPr>
        <w:t xml:space="preserve">5.2. Выпускник, освоивший программу ординатуры, должен обладать следующими универсальными компетенциями:</w:t>
      </w:r>
    </w:p>
    <w:p>
      <w:pPr>
        <w:pStyle w:val="0"/>
        <w:spacing w:before="200" w:line-rule="auto"/>
        <w:ind w:firstLine="540"/>
        <w:jc w:val="both"/>
      </w:pPr>
      <w:r>
        <w:rPr>
          <w:sz w:val="20"/>
        </w:rPr>
        <w:t xml:space="preserve">готовностью к абстрактному мышлению, анализу, синтезу (УК-1);</w:t>
      </w:r>
    </w:p>
    <w:p>
      <w:pPr>
        <w:pStyle w:val="0"/>
        <w:spacing w:before="200" w:line-rule="auto"/>
        <w:ind w:firstLine="540"/>
        <w:jc w:val="both"/>
      </w:pPr>
      <w:r>
        <w:rPr>
          <w:sz w:val="20"/>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00" w:line-rule="auto"/>
        <w:ind w:firstLine="540"/>
        <w:jc w:val="both"/>
      </w:pPr>
      <w:r>
        <w:rPr>
          <w:sz w:val="20"/>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осуществляющем функции по выработке государственной политики и нормативно-правовому регулированию в сфере здравоохранения (УК-3)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Части 13</w:t>
        </w:r>
      </w:hyperlink>
      <w:r>
        <w:rPr>
          <w:sz w:val="20"/>
        </w:rPr>
        <w:t xml:space="preserve"> и </w:t>
      </w:r>
      <w:hyperlink w:history="0" r:id="rId10"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14 статьи 82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ind w:firstLine="540"/>
        <w:jc w:val="both"/>
      </w:pPr>
      <w:r>
        <w:rPr>
          <w:sz w:val="20"/>
        </w:rPr>
      </w:r>
    </w:p>
    <w:p>
      <w:pPr>
        <w:pStyle w:val="0"/>
        <w:ind w:firstLine="540"/>
        <w:jc w:val="both"/>
      </w:pPr>
      <w:r>
        <w:rPr>
          <w:sz w:val="20"/>
        </w:rPr>
        <w:t xml:space="preserve">5.3. Выпускник, освоивший программу ординатуры, должен обладать профессиональными компетенциями:</w:t>
      </w:r>
    </w:p>
    <w:p>
      <w:pPr>
        <w:pStyle w:val="0"/>
        <w:spacing w:before="200" w:line-rule="auto"/>
        <w:ind w:firstLine="540"/>
        <w:jc w:val="both"/>
      </w:pPr>
      <w:r>
        <w:rPr>
          <w:sz w:val="20"/>
        </w:rPr>
        <w:t xml:space="preserve">профилактическая деятельность:</w:t>
      </w:r>
    </w:p>
    <w:p>
      <w:pPr>
        <w:pStyle w:val="0"/>
        <w:spacing w:before="200" w:line-rule="auto"/>
        <w:ind w:firstLine="540"/>
        <w:jc w:val="both"/>
      </w:pPr>
      <w:r>
        <w:rPr>
          <w:sz w:val="20"/>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0"/>
        <w:spacing w:before="200" w:line-rule="auto"/>
        <w:ind w:firstLine="540"/>
        <w:jc w:val="both"/>
      </w:pPr>
      <w:r>
        <w:rPr>
          <w:sz w:val="20"/>
        </w:rPr>
        <w:t xml:space="preserve">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 (ПК-2);</w:t>
      </w:r>
    </w:p>
    <w:p>
      <w:pPr>
        <w:pStyle w:val="0"/>
        <w:spacing w:before="200" w:line-rule="auto"/>
        <w:ind w:firstLine="540"/>
        <w:jc w:val="both"/>
      </w:pPr>
      <w:r>
        <w:rPr>
          <w:sz w:val="20"/>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0"/>
        <w:spacing w:before="200" w:line-rule="auto"/>
        <w:ind w:firstLine="540"/>
        <w:jc w:val="both"/>
      </w:pPr>
      <w:r>
        <w:rPr>
          <w:sz w:val="20"/>
        </w:rPr>
        <w:t xml:space="preserve">готовность к применению социально-гигиенических методик сбора и медико-статистического анализа информации о стоматологической заболеваемости (ПК-4);</w:t>
      </w:r>
    </w:p>
    <w:p>
      <w:pPr>
        <w:pStyle w:val="0"/>
        <w:spacing w:before="200" w:line-rule="auto"/>
        <w:ind w:firstLine="540"/>
        <w:jc w:val="both"/>
      </w:pPr>
      <w:r>
        <w:rPr>
          <w:sz w:val="20"/>
        </w:rPr>
        <w:t xml:space="preserve">диагностическая деятельность:</w:t>
      </w:r>
    </w:p>
    <w:p>
      <w:pPr>
        <w:pStyle w:val="0"/>
        <w:spacing w:before="200" w:line-rule="auto"/>
        <w:ind w:firstLine="540"/>
        <w:jc w:val="both"/>
      </w:pPr>
      <w:r>
        <w:rPr>
          <w:sz w:val="20"/>
        </w:rPr>
        <w:t xml:space="preserve">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 (ПК-5);</w:t>
      </w:r>
    </w:p>
    <w:p>
      <w:pPr>
        <w:pStyle w:val="0"/>
        <w:spacing w:before="200" w:line-rule="auto"/>
        <w:ind w:firstLine="540"/>
        <w:jc w:val="both"/>
      </w:pPr>
      <w:r>
        <w:rPr>
          <w:sz w:val="20"/>
        </w:rPr>
        <w:t xml:space="preserve">готовность к проведению экспертизы временной нетрудоспособности и участие в иных видах медицинской экспертизы (ПК-6);</w:t>
      </w:r>
    </w:p>
    <w:p>
      <w:pPr>
        <w:pStyle w:val="0"/>
        <w:spacing w:before="200" w:line-rule="auto"/>
        <w:ind w:firstLine="540"/>
        <w:jc w:val="both"/>
      </w:pPr>
      <w:r>
        <w:rPr>
          <w:sz w:val="20"/>
        </w:rPr>
        <w:t xml:space="preserve">лечебная деятельность:</w:t>
      </w:r>
    </w:p>
    <w:p>
      <w:pPr>
        <w:pStyle w:val="0"/>
        <w:spacing w:before="200" w:line-rule="auto"/>
        <w:ind w:firstLine="540"/>
        <w:jc w:val="both"/>
      </w:pPr>
      <w:r>
        <w:rPr>
          <w:sz w:val="20"/>
        </w:rPr>
        <w:t xml:space="preserve">готовность к определению тактики ведения, ведению и лечению пациентов, нуждающихся в ортопедической стоматологической помощи (ПК-7);</w:t>
      </w:r>
    </w:p>
    <w:p>
      <w:pPr>
        <w:pStyle w:val="0"/>
        <w:spacing w:before="200" w:line-rule="auto"/>
        <w:ind w:firstLine="540"/>
        <w:jc w:val="both"/>
      </w:pPr>
      <w:r>
        <w:rPr>
          <w:sz w:val="20"/>
        </w:rPr>
        <w:t xml:space="preserve">готовность к участию в оказании медицинской помощи при чрезвычайных ситуациях, в том числе участию в медицинской эвакуации (ПК-8);</w:t>
      </w:r>
    </w:p>
    <w:p>
      <w:pPr>
        <w:pStyle w:val="0"/>
        <w:spacing w:before="200" w:line-rule="auto"/>
        <w:ind w:firstLine="540"/>
        <w:jc w:val="both"/>
      </w:pPr>
      <w:r>
        <w:rPr>
          <w:sz w:val="20"/>
        </w:rPr>
        <w:t xml:space="preserve">реабилитационная деятельность:</w:t>
      </w:r>
    </w:p>
    <w:p>
      <w:pPr>
        <w:pStyle w:val="0"/>
        <w:spacing w:before="200" w:line-rule="auto"/>
        <w:ind w:firstLine="540"/>
        <w:jc w:val="both"/>
      </w:pPr>
      <w:r>
        <w:rPr>
          <w:sz w:val="20"/>
        </w:rPr>
        <w:t xml:space="preserve">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 (ПК-9);</w:t>
      </w:r>
    </w:p>
    <w:p>
      <w:pPr>
        <w:pStyle w:val="0"/>
        <w:spacing w:before="200" w:line-rule="auto"/>
        <w:ind w:firstLine="540"/>
        <w:jc w:val="both"/>
      </w:pPr>
      <w:r>
        <w:rPr>
          <w:sz w:val="20"/>
        </w:rPr>
        <w:t xml:space="preserve">психолого-педагогическая деятельность:</w:t>
      </w:r>
    </w:p>
    <w:p>
      <w:pPr>
        <w:pStyle w:val="0"/>
        <w:spacing w:before="200" w:line-rule="auto"/>
        <w:ind w:firstLine="540"/>
        <w:jc w:val="both"/>
      </w:pPr>
      <w:r>
        <w:rPr>
          <w:sz w:val="20"/>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 (ПК-10);</w:t>
      </w:r>
    </w:p>
    <w:p>
      <w:pPr>
        <w:pStyle w:val="0"/>
        <w:spacing w:before="200" w:line-rule="auto"/>
        <w:ind w:firstLine="540"/>
        <w:jc w:val="both"/>
      </w:pPr>
      <w:r>
        <w:rPr>
          <w:sz w:val="20"/>
        </w:rPr>
        <w:t xml:space="preserve">организационно-управленческая деятельность:</w:t>
      </w:r>
    </w:p>
    <w:p>
      <w:pPr>
        <w:pStyle w:val="0"/>
        <w:spacing w:before="200" w:line-rule="auto"/>
        <w:ind w:firstLine="540"/>
        <w:jc w:val="both"/>
      </w:pPr>
      <w:r>
        <w:rPr>
          <w:sz w:val="20"/>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(ПК-11);</w:t>
      </w:r>
    </w:p>
    <w:p>
      <w:pPr>
        <w:pStyle w:val="0"/>
        <w:spacing w:before="200" w:line-rule="auto"/>
        <w:ind w:firstLine="540"/>
        <w:jc w:val="both"/>
      </w:pPr>
      <w:r>
        <w:rPr>
          <w:sz w:val="20"/>
        </w:rPr>
        <w:t xml:space="preserve">готовность к проведению оценки качества оказания стоматологической помощи с использованием основных медико-статистических показателей (ПК-12);</w:t>
      </w:r>
    </w:p>
    <w:p>
      <w:pPr>
        <w:pStyle w:val="0"/>
        <w:spacing w:before="200" w:line-rule="auto"/>
        <w:ind w:firstLine="540"/>
        <w:jc w:val="both"/>
      </w:pPr>
      <w:r>
        <w:rPr>
          <w:sz w:val="20"/>
        </w:rPr>
        <w:t xml:space="preserve">готовность к организации медицинской помощи при чрезвычайных ситуациях, в том числе медицинской эвакуации (ПК-13).</w:t>
      </w:r>
    </w:p>
    <w:p>
      <w:pPr>
        <w:pStyle w:val="0"/>
        <w:spacing w:before="200" w:line-rule="auto"/>
        <w:ind w:firstLine="540"/>
        <w:jc w:val="both"/>
      </w:pPr>
      <w:r>
        <w:rPr>
          <w:sz w:val="20"/>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00" w:line-rule="auto"/>
        <w:ind w:firstLine="540"/>
        <w:jc w:val="both"/>
      </w:pPr>
      <w:r>
        <w:rPr>
          <w:sz w:val="20"/>
        </w:rPr>
        <w:t xml:space="preserve">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pPr>
        <w:pStyle w:val="0"/>
        <w:spacing w:before="200" w:line-rule="auto"/>
        <w:ind w:firstLine="540"/>
        <w:jc w:val="both"/>
      </w:pPr>
      <w:r>
        <w:rPr>
          <w:sz w:val="20"/>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pPr>
        <w:pStyle w:val="0"/>
        <w:ind w:firstLine="540"/>
        <w:jc w:val="both"/>
      </w:pPr>
      <w:r>
        <w:rPr>
          <w:sz w:val="20"/>
        </w:rPr>
      </w:r>
    </w:p>
    <w:p>
      <w:pPr>
        <w:pStyle w:val="0"/>
        <w:outlineLvl w:val="1"/>
        <w:jc w:val="center"/>
      </w:pPr>
      <w:r>
        <w:rPr>
          <w:sz w:val="20"/>
        </w:rPr>
        <w:t xml:space="preserve">VI. ТРЕБОВАНИЯ К СТРУКТУРЕ ПРОГРАММЫ ОРДИНАТУРЫ</w:t>
      </w:r>
    </w:p>
    <w:p>
      <w:pPr>
        <w:pStyle w:val="0"/>
        <w:ind w:firstLine="540"/>
        <w:jc w:val="both"/>
      </w:pPr>
      <w:r>
        <w:rPr>
          <w:sz w:val="20"/>
        </w:rPr>
      </w:r>
    </w:p>
    <w:p>
      <w:pPr>
        <w:pStyle w:val="0"/>
        <w:ind w:firstLine="540"/>
        <w:jc w:val="both"/>
      </w:pPr>
      <w:r>
        <w:rPr>
          <w:sz w:val="20"/>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00" w:line-rule="auto"/>
        <w:ind w:firstLine="540"/>
        <w:jc w:val="both"/>
      </w:pPr>
      <w:r>
        <w:rPr>
          <w:sz w:val="20"/>
        </w:rPr>
        <w:t xml:space="preserve">6.2. Программа ординатуры состоит из следующих блоков:</w:t>
      </w:r>
    </w:p>
    <w:p>
      <w:pPr>
        <w:pStyle w:val="0"/>
        <w:spacing w:before="200" w:line-rule="auto"/>
        <w:ind w:firstLine="540"/>
        <w:jc w:val="both"/>
      </w:pPr>
      <w:hyperlink w:history="0" w:anchor="P153" w:tooltip="Блок 1">
        <w:r>
          <w:rPr>
            <w:sz w:val="20"/>
            <w:color w:val="0000ff"/>
          </w:rPr>
          <w:t xml:space="preserve">Блок 1</w:t>
        </w:r>
      </w:hyperlink>
      <w:r>
        <w:rPr>
          <w:sz w:val="20"/>
        </w:rP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00" w:line-rule="auto"/>
        <w:ind w:firstLine="540"/>
        <w:jc w:val="both"/>
      </w:pPr>
      <w:hyperlink w:history="0" w:anchor="P161" w:tooltip="Блок 2">
        <w:r>
          <w:rPr>
            <w:sz w:val="20"/>
            <w:color w:val="0000ff"/>
          </w:rPr>
          <w:t xml:space="preserve">Блок 2</w:t>
        </w:r>
      </w:hyperlink>
      <w:r>
        <w:rPr>
          <w:sz w:val="20"/>
        </w:rPr>
        <w:t xml:space="preserve"> "Практики", относящийся как к базовой части программы, так и к ее вариативной части.</w:t>
      </w:r>
    </w:p>
    <w:p>
      <w:pPr>
        <w:pStyle w:val="0"/>
        <w:spacing w:before="200" w:line-rule="auto"/>
        <w:ind w:firstLine="540"/>
        <w:jc w:val="both"/>
      </w:pPr>
      <w:hyperlink w:history="0" w:anchor="P168" w:tooltip="Блок 3">
        <w:r>
          <w:rPr>
            <w:sz w:val="20"/>
            <w:color w:val="0000ff"/>
          </w:rPr>
          <w:t xml:space="preserve">Блок 3</w:t>
        </w:r>
      </w:hyperlink>
      <w:r>
        <w:rPr>
          <w:sz w:val="20"/>
        </w:rPr>
        <w:t xml:space="preserve"> "Государственная итоговая аттестация", который в полном объеме относится к базовой части программы и завершается присвоением квалификации "Врач - стоматолог - ортопед".</w:t>
      </w:r>
    </w:p>
    <w:p>
      <w:pPr>
        <w:pStyle w:val="0"/>
        <w:jc w:val="center"/>
      </w:pPr>
      <w:r>
        <w:rPr>
          <w:sz w:val="20"/>
        </w:rPr>
      </w:r>
    </w:p>
    <w:p>
      <w:pPr>
        <w:pStyle w:val="0"/>
        <w:outlineLvl w:val="2"/>
        <w:jc w:val="center"/>
      </w:pPr>
      <w:r>
        <w:rPr>
          <w:sz w:val="20"/>
        </w:rPr>
        <w:t xml:space="preserve">Структура программы ординатуры</w:t>
      </w:r>
    </w:p>
    <w:p>
      <w:pPr>
        <w:pStyle w:val="0"/>
        <w:jc w:val="center"/>
      </w:pPr>
      <w:r>
        <w:rPr>
          <w:sz w:val="20"/>
        </w:rPr>
      </w:r>
    </w:p>
    <w:p>
      <w:pPr>
        <w:pStyle w:val="0"/>
        <w:jc w:val="right"/>
      </w:pPr>
      <w:r>
        <w:rPr>
          <w:sz w:val="20"/>
        </w:rPr>
        <w:t xml:space="preserve">Таблица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02"/>
        <w:gridCol w:w="5220"/>
        <w:gridCol w:w="2876"/>
      </w:tblGrid>
      <w:tr>
        <w:tc>
          <w:tcPr>
            <w:gridSpan w:val="2"/>
            <w:tcW w:w="6722" w:type="dxa"/>
          </w:tcPr>
          <w:p>
            <w:pPr>
              <w:pStyle w:val="0"/>
              <w:jc w:val="center"/>
            </w:pPr>
            <w:r>
              <w:rPr>
                <w:sz w:val="20"/>
              </w:rPr>
              <w:t xml:space="preserve">Структура программы ординатуры</w:t>
            </w:r>
          </w:p>
        </w:tc>
        <w:tc>
          <w:tcPr>
            <w:tcW w:w="2876" w:type="dxa"/>
          </w:tcPr>
          <w:p>
            <w:pPr>
              <w:pStyle w:val="0"/>
              <w:jc w:val="center"/>
            </w:pPr>
            <w:r>
              <w:rPr>
                <w:sz w:val="20"/>
              </w:rPr>
              <w:t xml:space="preserve">Объем программы ординатуры в з.е.</w:t>
            </w:r>
          </w:p>
        </w:tc>
      </w:tr>
      <w:tr>
        <w:tc>
          <w:tcPr>
            <w:tcW w:w="1502" w:type="dxa"/>
          </w:tcPr>
          <w:bookmarkStart w:id="153" w:name="P153"/>
          <w:bookmarkEnd w:id="153"/>
          <w:p>
            <w:pPr>
              <w:pStyle w:val="0"/>
            </w:pPr>
            <w:r>
              <w:rPr>
                <w:sz w:val="20"/>
              </w:rPr>
              <w:t xml:space="preserve">Блок 1</w:t>
            </w:r>
          </w:p>
        </w:tc>
        <w:tc>
          <w:tcPr>
            <w:tcW w:w="5220" w:type="dxa"/>
          </w:tcPr>
          <w:p>
            <w:pPr>
              <w:pStyle w:val="0"/>
            </w:pPr>
            <w:r>
              <w:rPr>
                <w:sz w:val="20"/>
              </w:rPr>
              <w:t xml:space="preserve">Дисциплины (модули)</w:t>
            </w:r>
          </w:p>
        </w:tc>
        <w:tc>
          <w:tcPr>
            <w:tcW w:w="2876" w:type="dxa"/>
          </w:tcPr>
          <w:p>
            <w:pPr>
              <w:pStyle w:val="0"/>
              <w:jc w:val="center"/>
            </w:pPr>
            <w:r>
              <w:rPr>
                <w:sz w:val="20"/>
              </w:rPr>
              <w:t xml:space="preserve">42 - 48</w:t>
            </w:r>
          </w:p>
        </w:tc>
      </w:tr>
      <w:tr>
        <w:tc>
          <w:tcPr>
            <w:tcW w:w="1502" w:type="dxa"/>
            <w:vMerge w:val="restart"/>
          </w:tcPr>
          <w:p>
            <w:pPr>
              <w:pStyle w:val="0"/>
            </w:pPr>
            <w:r>
              <w:rPr>
                <w:sz w:val="20"/>
              </w:rPr>
            </w:r>
          </w:p>
        </w:tc>
        <w:tc>
          <w:tcPr>
            <w:tcW w:w="5220" w:type="dxa"/>
          </w:tcPr>
          <w:bookmarkStart w:id="157" w:name="P157"/>
          <w:bookmarkEnd w:id="157"/>
          <w:p>
            <w:pPr>
              <w:pStyle w:val="0"/>
            </w:pPr>
            <w:r>
              <w:rPr>
                <w:sz w:val="20"/>
              </w:rPr>
              <w:t xml:space="preserve">Базовая часть</w:t>
            </w:r>
          </w:p>
        </w:tc>
        <w:tc>
          <w:tcPr>
            <w:tcW w:w="2876" w:type="dxa"/>
          </w:tcPr>
          <w:p>
            <w:pPr>
              <w:pStyle w:val="0"/>
              <w:jc w:val="center"/>
            </w:pPr>
            <w:r>
              <w:rPr>
                <w:sz w:val="20"/>
              </w:rPr>
              <w:t xml:space="preserve">33 - 39</w:t>
            </w:r>
          </w:p>
        </w:tc>
      </w:tr>
      <w:tr>
        <w:tc>
          <w:tcPr>
            <w:vMerge w:val="continue"/>
          </w:tcPr>
          <w:p/>
        </w:tc>
        <w:tc>
          <w:tcPr>
            <w:tcW w:w="5220" w:type="dxa"/>
          </w:tcPr>
          <w:bookmarkStart w:id="159" w:name="P159"/>
          <w:bookmarkEnd w:id="159"/>
          <w:p>
            <w:pPr>
              <w:pStyle w:val="0"/>
            </w:pPr>
            <w:r>
              <w:rPr>
                <w:sz w:val="20"/>
              </w:rPr>
              <w:t xml:space="preserve">Вариативная часть</w:t>
            </w:r>
          </w:p>
        </w:tc>
        <w:tc>
          <w:tcPr>
            <w:tcW w:w="2876" w:type="dxa"/>
          </w:tcPr>
          <w:p>
            <w:pPr>
              <w:pStyle w:val="0"/>
              <w:jc w:val="center"/>
            </w:pPr>
            <w:r>
              <w:rPr>
                <w:sz w:val="20"/>
              </w:rPr>
              <w:t xml:space="preserve">6 - 12</w:t>
            </w:r>
          </w:p>
        </w:tc>
      </w:tr>
      <w:tr>
        <w:tc>
          <w:tcPr>
            <w:tcW w:w="1502" w:type="dxa"/>
            <w:vMerge w:val="restart"/>
          </w:tcPr>
          <w:bookmarkStart w:id="161" w:name="P161"/>
          <w:bookmarkEnd w:id="161"/>
          <w:p>
            <w:pPr>
              <w:pStyle w:val="0"/>
            </w:pPr>
            <w:r>
              <w:rPr>
                <w:sz w:val="20"/>
              </w:rPr>
              <w:t xml:space="preserve">Блок 2</w:t>
            </w:r>
          </w:p>
        </w:tc>
        <w:tc>
          <w:tcPr>
            <w:tcW w:w="5220" w:type="dxa"/>
          </w:tcPr>
          <w:p>
            <w:pPr>
              <w:pStyle w:val="0"/>
            </w:pPr>
            <w:r>
              <w:rPr>
                <w:sz w:val="20"/>
              </w:rPr>
              <w:t xml:space="preserve">Практики</w:t>
            </w:r>
          </w:p>
        </w:tc>
        <w:tc>
          <w:tcPr>
            <w:tcW w:w="2876" w:type="dxa"/>
          </w:tcPr>
          <w:p>
            <w:pPr>
              <w:pStyle w:val="0"/>
              <w:jc w:val="center"/>
            </w:pPr>
            <w:r>
              <w:rPr>
                <w:sz w:val="20"/>
              </w:rPr>
              <w:t xml:space="preserve">69 - 75</w:t>
            </w:r>
          </w:p>
        </w:tc>
      </w:tr>
      <w:tr>
        <w:tc>
          <w:tcPr>
            <w:vMerge w:val="continue"/>
          </w:tcPr>
          <w:p/>
        </w:tc>
        <w:tc>
          <w:tcPr>
            <w:tcW w:w="5220" w:type="dxa"/>
          </w:tcPr>
          <w:p>
            <w:pPr>
              <w:pStyle w:val="0"/>
            </w:pPr>
            <w:r>
              <w:rPr>
                <w:sz w:val="20"/>
              </w:rPr>
              <w:t xml:space="preserve">Базовая часть</w:t>
            </w:r>
          </w:p>
        </w:tc>
        <w:tc>
          <w:tcPr>
            <w:tcW w:w="2876" w:type="dxa"/>
          </w:tcPr>
          <w:p>
            <w:pPr>
              <w:pStyle w:val="0"/>
              <w:jc w:val="center"/>
            </w:pPr>
            <w:r>
              <w:rPr>
                <w:sz w:val="20"/>
              </w:rPr>
              <w:t xml:space="preserve">60 - 66</w:t>
            </w:r>
          </w:p>
        </w:tc>
      </w:tr>
      <w:tr>
        <w:tc>
          <w:tcPr>
            <w:vMerge w:val="continue"/>
          </w:tcPr>
          <w:p/>
        </w:tc>
        <w:tc>
          <w:tcPr>
            <w:tcW w:w="5220" w:type="dxa"/>
          </w:tcPr>
          <w:p>
            <w:pPr>
              <w:pStyle w:val="0"/>
            </w:pPr>
            <w:r>
              <w:rPr>
                <w:sz w:val="20"/>
              </w:rPr>
              <w:t xml:space="preserve">Вариативная часть</w:t>
            </w:r>
          </w:p>
        </w:tc>
        <w:tc>
          <w:tcPr>
            <w:tcW w:w="2876" w:type="dxa"/>
          </w:tcPr>
          <w:p>
            <w:pPr>
              <w:pStyle w:val="0"/>
              <w:jc w:val="center"/>
            </w:pPr>
            <w:r>
              <w:rPr>
                <w:sz w:val="20"/>
              </w:rPr>
              <w:t xml:space="preserve">6 - 12</w:t>
            </w:r>
          </w:p>
        </w:tc>
      </w:tr>
      <w:tr>
        <w:tc>
          <w:tcPr>
            <w:tcW w:w="1502" w:type="dxa"/>
            <w:vMerge w:val="restart"/>
          </w:tcPr>
          <w:bookmarkStart w:id="168" w:name="P168"/>
          <w:bookmarkEnd w:id="168"/>
          <w:p>
            <w:pPr>
              <w:pStyle w:val="0"/>
            </w:pPr>
            <w:r>
              <w:rPr>
                <w:sz w:val="20"/>
              </w:rPr>
              <w:t xml:space="preserve">Блок 3</w:t>
            </w:r>
          </w:p>
        </w:tc>
        <w:tc>
          <w:tcPr>
            <w:tcW w:w="5220" w:type="dxa"/>
          </w:tcPr>
          <w:p>
            <w:pPr>
              <w:pStyle w:val="0"/>
            </w:pPr>
            <w:r>
              <w:rPr>
                <w:sz w:val="20"/>
              </w:rPr>
              <w:t xml:space="preserve">Государственная итоговая аттестация</w:t>
            </w:r>
          </w:p>
        </w:tc>
        <w:tc>
          <w:tcPr>
            <w:tcW w:w="2876" w:type="dxa"/>
          </w:tcPr>
          <w:p>
            <w:pPr>
              <w:pStyle w:val="0"/>
              <w:jc w:val="center"/>
            </w:pPr>
            <w:r>
              <w:rPr>
                <w:sz w:val="20"/>
              </w:rPr>
              <w:t xml:space="preserve">3</w:t>
            </w:r>
          </w:p>
        </w:tc>
      </w:tr>
      <w:tr>
        <w:tc>
          <w:tcPr>
            <w:vMerge w:val="continue"/>
          </w:tcPr>
          <w:p/>
        </w:tc>
        <w:tc>
          <w:tcPr>
            <w:tcW w:w="5220" w:type="dxa"/>
          </w:tcPr>
          <w:p>
            <w:pPr>
              <w:pStyle w:val="0"/>
            </w:pPr>
            <w:r>
              <w:rPr>
                <w:sz w:val="20"/>
              </w:rPr>
              <w:t xml:space="preserve">Базовая часть</w:t>
            </w:r>
          </w:p>
        </w:tc>
        <w:tc>
          <w:tcPr>
            <w:tcW w:w="2876" w:type="dxa"/>
          </w:tcPr>
          <w:p>
            <w:pPr>
              <w:pStyle w:val="0"/>
              <w:jc w:val="center"/>
            </w:pPr>
            <w:r>
              <w:rPr>
                <w:sz w:val="20"/>
              </w:rPr>
              <w:t xml:space="preserve">3</w:t>
            </w:r>
          </w:p>
        </w:tc>
      </w:tr>
      <w:tr>
        <w:tc>
          <w:tcPr>
            <w:gridSpan w:val="2"/>
            <w:tcW w:w="6722" w:type="dxa"/>
          </w:tcPr>
          <w:p>
            <w:pPr>
              <w:pStyle w:val="0"/>
            </w:pPr>
            <w:r>
              <w:rPr>
                <w:sz w:val="20"/>
              </w:rPr>
              <w:t xml:space="preserve">Объем программы ординатуры</w:t>
            </w:r>
          </w:p>
        </w:tc>
        <w:tc>
          <w:tcPr>
            <w:tcW w:w="2876" w:type="dxa"/>
          </w:tcPr>
          <w:p>
            <w:pPr>
              <w:pStyle w:val="0"/>
              <w:jc w:val="center"/>
            </w:pPr>
            <w:r>
              <w:rPr>
                <w:sz w:val="20"/>
              </w:rPr>
              <w:t xml:space="preserve">120</w:t>
            </w:r>
          </w:p>
        </w:tc>
      </w:tr>
    </w:tbl>
    <w:p>
      <w:pPr>
        <w:pStyle w:val="0"/>
        <w:ind w:firstLine="540"/>
        <w:jc w:val="both"/>
      </w:pPr>
      <w:r>
        <w:rPr>
          <w:sz w:val="20"/>
        </w:rPr>
      </w:r>
    </w:p>
    <w:p>
      <w:pPr>
        <w:pStyle w:val="0"/>
        <w:ind w:firstLine="540"/>
        <w:jc w:val="both"/>
      </w:pPr>
      <w:r>
        <w:rPr>
          <w:sz w:val="20"/>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00" w:line-rule="auto"/>
        <w:ind w:firstLine="540"/>
        <w:jc w:val="both"/>
      </w:pPr>
      <w:r>
        <w:rPr>
          <w:sz w:val="20"/>
        </w:rPr>
        <w:t xml:space="preserve">6.4. 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w:t>
      </w:r>
      <w:hyperlink w:history="0" w:anchor="P157" w:tooltip="Базовая часть">
        <w:r>
          <w:rPr>
            <w:sz w:val="20"/>
            <w:color w:val="0000ff"/>
          </w:rPr>
          <w:t xml:space="preserve">базовой части</w:t>
        </w:r>
      </w:hyperlink>
      <w:r>
        <w:rPr>
          <w:sz w:val="20"/>
        </w:rPr>
        <w:t xml:space="preserve">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00" w:line-rule="auto"/>
        <w:ind w:firstLine="540"/>
        <w:jc w:val="both"/>
      </w:pPr>
      <w:r>
        <w:rPr>
          <w:sz w:val="20"/>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Приказ</w:t>
        </w:r>
      </w:hyperlink>
      <w:r>
        <w:rPr>
          <w:sz w:val="20"/>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pPr>
        <w:pStyle w:val="0"/>
        <w:ind w:firstLine="540"/>
        <w:jc w:val="both"/>
      </w:pPr>
      <w:r>
        <w:rPr>
          <w:sz w:val="20"/>
        </w:rPr>
      </w:r>
    </w:p>
    <w:p>
      <w:pPr>
        <w:pStyle w:val="0"/>
        <w:ind w:firstLine="540"/>
        <w:jc w:val="both"/>
      </w:pPr>
      <w:r>
        <w:rPr>
          <w:sz w:val="20"/>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00" w:line-rule="auto"/>
        <w:ind w:firstLine="540"/>
        <w:jc w:val="both"/>
      </w:pPr>
      <w:r>
        <w:rPr>
          <w:sz w:val="20"/>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00" w:line-rule="auto"/>
        <w:ind w:firstLine="540"/>
        <w:jc w:val="both"/>
      </w:pPr>
      <w:r>
        <w:rPr>
          <w:sz w:val="20"/>
        </w:rPr>
        <w:t xml:space="preserve">6.6. В </w:t>
      </w:r>
      <w:hyperlink w:history="0" w:anchor="P161" w:tooltip="Блок 2">
        <w:r>
          <w:rPr>
            <w:sz w:val="20"/>
            <w:color w:val="0000ff"/>
          </w:rPr>
          <w:t xml:space="preserve">Блок 2</w:t>
        </w:r>
      </w:hyperlink>
      <w:r>
        <w:rPr>
          <w:sz w:val="20"/>
        </w:rPr>
        <w:t xml:space="preserve"> "Практики" входит производственная (клиническая) практика.</w:t>
      </w:r>
    </w:p>
    <w:p>
      <w:pPr>
        <w:pStyle w:val="0"/>
        <w:spacing w:before="200" w:line-rule="auto"/>
        <w:ind w:firstLine="540"/>
        <w:jc w:val="both"/>
      </w:pPr>
      <w:r>
        <w:rPr>
          <w:sz w:val="20"/>
        </w:rPr>
        <w:t xml:space="preserve">Способы проведения производственной (клинической) практики:</w:t>
      </w:r>
    </w:p>
    <w:p>
      <w:pPr>
        <w:pStyle w:val="0"/>
        <w:spacing w:before="200" w:line-rule="auto"/>
        <w:ind w:firstLine="540"/>
        <w:jc w:val="both"/>
      </w:pPr>
      <w:r>
        <w:rPr>
          <w:sz w:val="20"/>
        </w:rPr>
        <w:t xml:space="preserve">стационарная;</w:t>
      </w:r>
    </w:p>
    <w:p>
      <w:pPr>
        <w:pStyle w:val="0"/>
        <w:spacing w:before="200" w:line-rule="auto"/>
        <w:ind w:firstLine="540"/>
        <w:jc w:val="both"/>
      </w:pPr>
      <w:r>
        <w:rPr>
          <w:sz w:val="20"/>
        </w:rPr>
        <w:t xml:space="preserve">выездная.</w:t>
      </w:r>
    </w:p>
    <w:p>
      <w:pPr>
        <w:pStyle w:val="0"/>
        <w:spacing w:before="200" w:line-rule="auto"/>
        <w:ind w:firstLine="540"/>
        <w:jc w:val="both"/>
      </w:pPr>
      <w:r>
        <w:rPr>
          <w:sz w:val="20"/>
        </w:rPr>
        <w:t xml:space="preserve">Практики могут проводиться в структурных подразделениях организации.</w:t>
      </w:r>
    </w:p>
    <w:p>
      <w:pPr>
        <w:pStyle w:val="0"/>
        <w:spacing w:before="200" w:line-rule="auto"/>
        <w:ind w:firstLine="540"/>
        <w:jc w:val="both"/>
      </w:pPr>
      <w:r>
        <w:rPr>
          <w:sz w:val="20"/>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00" w:line-rule="auto"/>
        <w:ind w:firstLine="540"/>
        <w:jc w:val="both"/>
      </w:pPr>
      <w:r>
        <w:rPr>
          <w:sz w:val="20"/>
        </w:rPr>
        <w:t xml:space="preserve">6.7. В </w:t>
      </w:r>
      <w:hyperlink w:history="0" w:anchor="P168" w:tooltip="Блок 3">
        <w:r>
          <w:rPr>
            <w:sz w:val="20"/>
            <w:color w:val="0000ff"/>
          </w:rPr>
          <w:t xml:space="preserve">Блок 3</w:t>
        </w:r>
      </w:hyperlink>
      <w:r>
        <w:rPr>
          <w:sz w:val="20"/>
        </w:rPr>
        <w:t xml:space="preserve"> "Государственная итоговая аттестация" входит подготовка к сдаче и сдача государственного экзамена.</w:t>
      </w:r>
    </w:p>
    <w:p>
      <w:pPr>
        <w:pStyle w:val="0"/>
        <w:spacing w:before="200" w:line-rule="auto"/>
        <w:ind w:firstLine="540"/>
        <w:jc w:val="both"/>
      </w:pPr>
      <w:r>
        <w:rPr>
          <w:sz w:val="20"/>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w:t>
      </w:r>
      <w:hyperlink w:history="0" w:anchor="P159" w:tooltip="Вариативная часть">
        <w:r>
          <w:rPr>
            <w:sz w:val="20"/>
            <w:color w:val="0000ff"/>
          </w:rPr>
          <w:t xml:space="preserve">вариативной части</w:t>
        </w:r>
      </w:hyperlink>
      <w:r>
        <w:rPr>
          <w:sz w:val="20"/>
        </w:rPr>
        <w:t xml:space="preserve"> Блока 1 "Дисциплины (модули)".</w:t>
      </w:r>
    </w:p>
    <w:p>
      <w:pPr>
        <w:pStyle w:val="0"/>
        <w:spacing w:before="200" w:line-rule="auto"/>
        <w:ind w:firstLine="540"/>
        <w:jc w:val="both"/>
      </w:pPr>
      <w:r>
        <w:rPr>
          <w:sz w:val="20"/>
        </w:rPr>
        <w:t xml:space="preserve">6.9. Количество часов, отведенных на занятия лекционного типа в целом по </w:t>
      </w:r>
      <w:hyperlink w:history="0" w:anchor="P153" w:tooltip="Блок 1">
        <w:r>
          <w:rPr>
            <w:sz w:val="20"/>
            <w:color w:val="0000ff"/>
          </w:rPr>
          <w:t xml:space="preserve">Блоку 1</w:t>
        </w:r>
      </w:hyperlink>
      <w:r>
        <w:rPr>
          <w:sz w:val="20"/>
        </w:rPr>
        <w:t xml:space="preserve">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ind w:firstLine="540"/>
        <w:jc w:val="both"/>
      </w:pPr>
      <w:r>
        <w:rPr>
          <w:sz w:val="20"/>
        </w:rPr>
      </w:r>
    </w:p>
    <w:p>
      <w:pPr>
        <w:pStyle w:val="0"/>
        <w:outlineLvl w:val="1"/>
        <w:jc w:val="center"/>
      </w:pPr>
      <w:r>
        <w:rPr>
          <w:sz w:val="20"/>
        </w:rPr>
        <w:t xml:space="preserve">VII. ТРЕБОВАНИЯ К УСЛОВИЯМ РЕАЛИЗАЦИИ ПРОГРАММЫ ОРДИНАТУРЫ</w:t>
      </w:r>
    </w:p>
    <w:p>
      <w:pPr>
        <w:pStyle w:val="0"/>
        <w:ind w:firstLine="540"/>
        <w:jc w:val="both"/>
      </w:pPr>
      <w:r>
        <w:rPr>
          <w:sz w:val="20"/>
        </w:rPr>
      </w:r>
    </w:p>
    <w:p>
      <w:pPr>
        <w:pStyle w:val="0"/>
        <w:outlineLvl w:val="2"/>
        <w:ind w:firstLine="540"/>
        <w:jc w:val="both"/>
      </w:pPr>
      <w:r>
        <w:rPr>
          <w:sz w:val="20"/>
        </w:rPr>
        <w:t xml:space="preserve">7.1. Общесистемные требования к реализации программы ординатуры.</w:t>
      </w:r>
    </w:p>
    <w:p>
      <w:pPr>
        <w:pStyle w:val="0"/>
        <w:spacing w:before="200" w:line-rule="auto"/>
        <w:ind w:firstLine="540"/>
        <w:jc w:val="both"/>
      </w:pPr>
      <w:r>
        <w:rPr>
          <w:sz w:val="20"/>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00" w:line-rule="auto"/>
        <w:ind w:firstLine="540"/>
        <w:jc w:val="both"/>
      </w:pPr>
      <w:r>
        <w:rPr>
          <w:sz w:val="20"/>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00" w:line-rule="auto"/>
        <w:ind w:firstLine="540"/>
        <w:jc w:val="both"/>
      </w:pPr>
      <w:r>
        <w:rPr>
          <w:sz w:val="20"/>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00" w:line-rule="auto"/>
        <w:ind w:firstLine="540"/>
        <w:jc w:val="both"/>
      </w:pPr>
      <w:r>
        <w:rPr>
          <w:sz w:val="20"/>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00" w:line-rule="auto"/>
        <w:ind w:firstLine="540"/>
        <w:jc w:val="both"/>
      </w:pPr>
      <w:r>
        <w:rPr>
          <w:sz w:val="20"/>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12"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закон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ind w:firstLine="540"/>
        <w:jc w:val="both"/>
      </w:pPr>
      <w:r>
        <w:rPr>
          <w:sz w:val="20"/>
        </w:rPr>
      </w:r>
    </w:p>
    <w:p>
      <w:pPr>
        <w:pStyle w:val="0"/>
        <w:ind w:firstLine="540"/>
        <w:jc w:val="both"/>
      </w:pPr>
      <w:r>
        <w:rPr>
          <w:sz w:val="20"/>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00" w:line-rule="auto"/>
        <w:ind w:firstLine="540"/>
        <w:jc w:val="both"/>
      </w:pPr>
      <w:r>
        <w:rPr>
          <w:sz w:val="20"/>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00" w:line-rule="auto"/>
        <w:ind w:firstLine="540"/>
        <w:jc w:val="both"/>
      </w:pPr>
      <w:r>
        <w:rPr>
          <w:sz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13"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0"/>
            <w:color w:val="0000ff"/>
          </w:rPr>
          <w:t xml:space="preserve">разделе</w:t>
        </w:r>
      </w:hyperlink>
      <w:r>
        <w:rPr>
          <w:sz w:val="20"/>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ind w:firstLine="540"/>
        <w:jc w:val="both"/>
      </w:pPr>
      <w:r>
        <w:rPr>
          <w:sz w:val="20"/>
        </w:rPr>
      </w:r>
    </w:p>
    <w:p>
      <w:pPr>
        <w:pStyle w:val="0"/>
        <w:ind w:firstLine="540"/>
        <w:jc w:val="both"/>
      </w:pPr>
      <w:r>
        <w:rPr>
          <w:sz w:val="20"/>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ind w:firstLine="540"/>
        <w:jc w:val="both"/>
      </w:pPr>
      <w:r>
        <w:rPr>
          <w:sz w:val="20"/>
        </w:rPr>
      </w:r>
    </w:p>
    <w:p>
      <w:pPr>
        <w:pStyle w:val="0"/>
        <w:outlineLvl w:val="2"/>
        <w:ind w:firstLine="540"/>
        <w:jc w:val="both"/>
      </w:pPr>
      <w:r>
        <w:rPr>
          <w:sz w:val="20"/>
        </w:rPr>
        <w:t xml:space="preserve">7.2. Требования к кадровым условиям реализации программ ординатуры.</w:t>
      </w:r>
    </w:p>
    <w:p>
      <w:pPr>
        <w:pStyle w:val="0"/>
        <w:spacing w:before="200" w:line-rule="auto"/>
        <w:ind w:firstLine="540"/>
        <w:jc w:val="both"/>
      </w:pPr>
      <w:r>
        <w:rPr>
          <w:sz w:val="20"/>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00" w:line-rule="auto"/>
        <w:ind w:firstLine="540"/>
        <w:jc w:val="both"/>
      </w:pPr>
      <w:r>
        <w:rPr>
          <w:sz w:val="20"/>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00" w:line-rule="auto"/>
        <w:ind w:firstLine="540"/>
        <w:jc w:val="both"/>
      </w:pPr>
      <w:r>
        <w:rPr>
          <w:sz w:val="20"/>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00" w:line-rule="auto"/>
        <w:ind w:firstLine="540"/>
        <w:jc w:val="both"/>
      </w:pPr>
      <w:r>
        <w:rPr>
          <w:sz w:val="20"/>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ind w:firstLine="540"/>
        <w:jc w:val="both"/>
      </w:pPr>
      <w:r>
        <w:rPr>
          <w:sz w:val="20"/>
        </w:rPr>
      </w:r>
    </w:p>
    <w:p>
      <w:pPr>
        <w:pStyle w:val="0"/>
        <w:outlineLvl w:val="2"/>
        <w:ind w:firstLine="540"/>
        <w:jc w:val="both"/>
      </w:pPr>
      <w:r>
        <w:rPr>
          <w:sz w:val="20"/>
        </w:rPr>
        <w:t xml:space="preserve">7.3. Требования к материально-техническому и учебно-методическому обеспечению программы ординатуры.</w:t>
      </w:r>
    </w:p>
    <w:p>
      <w:pPr>
        <w:pStyle w:val="0"/>
        <w:spacing w:before="200" w:line-rule="auto"/>
        <w:ind w:firstLine="540"/>
        <w:jc w:val="both"/>
      </w:pPr>
      <w:r>
        <w:rPr>
          <w:sz w:val="20"/>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00" w:line-rule="auto"/>
        <w:ind w:firstLine="540"/>
        <w:jc w:val="both"/>
      </w:pPr>
      <w:r>
        <w:rPr>
          <w:sz w:val="20"/>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00" w:line-rule="auto"/>
        <w:ind w:firstLine="540"/>
        <w:jc w:val="both"/>
      </w:pPr>
      <w:r>
        <w:rPr>
          <w:sz w:val="20"/>
        </w:rPr>
        <w:t xml:space="preserve">аудитории, оборудованные фантомной и симуляционной техникой, имитирующей медицинские манипуляции и вмешательства (модель черепа человека, карпульный инъектор для обучения методикам проведения анестезии в челюстно-лицевой области с расходными материалами (искусственные зубы, слюноотсосы, пылесосы, боры стоматологические, шприцы с материалом для пломбирования полостей); имитация CAD/CAM систем для изготовления зубных протезов, в том числе для воскового моделирования; фантом челюстно-лицевой области; наконечник повышающий и прямой; фантом демонстрационный, установка стоматологическая учебная для работы с комплектом наконечников стоматологических),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00" w:line-rule="auto"/>
        <w:ind w:firstLine="540"/>
        <w:jc w:val="both"/>
      </w:pPr>
      <w:r>
        <w:rPr>
          <w:sz w:val="20"/>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место рабочее (комплект оборудования) для врача-стоматолога: установка стоматологическая (УС) или место рабочее универсальное врача стоматолога (МРУ); негатоскоп; автоклав (стерилизатор паровой), при отсутствии центральной стерилизационной; автоклав для наконечников (стерилизатор паровой настольный); аппарат для дезинфекции оттисков, стоматологических изделий и инструментов; аквадистиллятор (медицинский), при отсутствии центральной стерилизационной; фотополимеризатор для композита (внутриротовой); камеры для хранения стерильных инструментов; машина упаковочная (аппарат для предстерилизационной упаковки инструментария) при отсутствии центральной стерилизации; очиститель ультразвуковой (устройство ультразвуковой очистки и дезинфекции инструментов и изделий); прибор и средства для очистки и смазки; стерилизатор стоматологический для мелкого инструментария гласперленовый; лампа (облучатель) бактерицидная для помещений; радиовизиограф или рентген дентальный; ортопантомограф; аппарат для диагностики жизнеспособности пульпы (электроодонтометр); аппарат для определения глубины корневого канала (апекслокатор), цифровой ортопантомограф с цефалостатом; артикулятор и лицевая дуга), в количестве, позволяющем обучающимся осваивать умения и навыки, предусмотренные профессиональной деятельностью, индивидуально, а также иного необходимого оборудования;</w:t>
      </w:r>
    </w:p>
    <w:p>
      <w:pPr>
        <w:pStyle w:val="0"/>
        <w:spacing w:before="200" w:line-rule="auto"/>
        <w:ind w:firstLine="540"/>
        <w:jc w:val="both"/>
      </w:pPr>
      <w:r>
        <w:rPr>
          <w:sz w:val="20"/>
        </w:rPr>
        <w:t xml:space="preserve">зуботехническая лаборатория, оснащенная специализированным оборудованием (аппарат для изготовления индивидуальных капп, аппарат для прессования ортодонтических пластинок при выполнении ортодонтических работ, CAD/CAM системы для изготовления зубных протезов; фрезерный станок с параллелометром; печь для спекания керамики стоматологическая; аппарат с принадлежностями для литья металла зубных протезов; аппарат с принадлежностями для предварительного прогрева литьевых форм; аппарат контактной (электродуговой) сварки зубных протезов; аппарат для пайки и сварки зубных протезов лазером; аппарат для электропневмовакуумного штампования), а также иное оборудование, необходимое для реализации программы ординатуры.</w:t>
      </w:r>
    </w:p>
    <w:p>
      <w:pPr>
        <w:pStyle w:val="0"/>
        <w:spacing w:before="200" w:line-rule="auto"/>
        <w:ind w:firstLine="540"/>
        <w:jc w:val="both"/>
      </w:pPr>
      <w:r>
        <w:rPr>
          <w:sz w:val="20"/>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00" w:line-rule="auto"/>
        <w:ind w:firstLine="540"/>
        <w:jc w:val="both"/>
      </w:pPr>
      <w:r>
        <w:rPr>
          <w:sz w:val="20"/>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00" w:line-rule="auto"/>
        <w:ind w:firstLine="540"/>
        <w:jc w:val="both"/>
      </w:pPr>
      <w:r>
        <w:rPr>
          <w:sz w:val="20"/>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00" w:line-rule="auto"/>
        <w:ind w:firstLine="540"/>
        <w:jc w:val="both"/>
      </w:pPr>
      <w:r>
        <w:rPr>
          <w:sz w:val="20"/>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00" w:line-rule="auto"/>
        <w:ind w:firstLine="540"/>
        <w:jc w:val="both"/>
      </w:pPr>
      <w:r>
        <w:rPr>
          <w:sz w:val="20"/>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00" w:line-rule="auto"/>
        <w:ind w:firstLine="540"/>
        <w:jc w:val="both"/>
      </w:pPr>
      <w:r>
        <w:rPr>
          <w:sz w:val="20"/>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ind w:firstLine="540"/>
        <w:jc w:val="both"/>
      </w:pPr>
      <w:r>
        <w:rPr>
          <w:sz w:val="20"/>
        </w:rPr>
      </w:r>
    </w:p>
    <w:p>
      <w:pPr>
        <w:pStyle w:val="0"/>
        <w:outlineLvl w:val="2"/>
        <w:ind w:firstLine="540"/>
        <w:jc w:val="both"/>
      </w:pPr>
      <w:r>
        <w:rPr>
          <w:sz w:val="20"/>
        </w:rPr>
        <w:t xml:space="preserve">7.4. Требования к финансовым условиям реализации программы ординатуры.</w:t>
      </w:r>
    </w:p>
    <w:p>
      <w:pPr>
        <w:pStyle w:val="0"/>
        <w:spacing w:before="200" w:line-rule="auto"/>
        <w:ind w:firstLine="540"/>
        <w:jc w:val="both"/>
      </w:pPr>
      <w:r>
        <w:rPr>
          <w:sz w:val="20"/>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5"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0"/>
            <w:color w:val="0000ff"/>
          </w:rPr>
          <w:t xml:space="preserve">Методикой</w:t>
        </w:r>
      </w:hyperlink>
      <w:r>
        <w:rPr>
          <w:sz w:val="20"/>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26.08.2014 N 1118</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7618&amp;dst=100042" TargetMode = "External"/>
	<Relationship Id="rId8" Type="http://schemas.openxmlformats.org/officeDocument/2006/relationships/hyperlink" Target="https://login.consultant.ru/link/?req=doc&amp;base=LAW&amp;n=154176&amp;dst=100009" TargetMode = "External"/>
	<Relationship Id="rId9" Type="http://schemas.openxmlformats.org/officeDocument/2006/relationships/hyperlink" Target="https://login.consultant.ru/link/?req=doc&amp;base=LAW&amp;n=478592&amp;dst=101099" TargetMode = "External"/>
	<Relationship Id="rId10" Type="http://schemas.openxmlformats.org/officeDocument/2006/relationships/hyperlink" Target="https://login.consultant.ru/link/?req=doc&amp;base=LAW&amp;n=478592&amp;dst=101100" TargetMode = "External"/>
	<Relationship Id="rId11" Type="http://schemas.openxmlformats.org/officeDocument/2006/relationships/hyperlink" Target="https://login.consultant.ru/link/?req=doc&amp;base=LAW&amp;n=348537" TargetMode = "External"/>
	<Relationship Id="rId12" Type="http://schemas.openxmlformats.org/officeDocument/2006/relationships/hyperlink" Target="https://login.consultant.ru/link/?req=doc&amp;base=LAW&amp;n=464157" TargetMode = "External"/>
	<Relationship Id="rId13" Type="http://schemas.openxmlformats.org/officeDocument/2006/relationships/hyperlink" Target="https://login.consultant.ru/link/?req=doc&amp;base=LAW&amp;n=440481&amp;dst=100010" TargetMode = "External"/>
	<Relationship Id="rId14" Type="http://schemas.openxmlformats.org/officeDocument/2006/relationships/hyperlink" Target="https://login.consultant.ru/link/?req=doc&amp;base=LAW&amp;n=128754" TargetMode = "External"/>
	<Relationship Id="rId15" Type="http://schemas.openxmlformats.org/officeDocument/2006/relationships/hyperlink" Target="https://login.consultant.ru/link/?req=doc&amp;base=LAW&amp;n=152100&amp;dst=1000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26.08.2014 N 1118
"Об утверждении федерального государственного образовательного стандарта высшего образования по специальности 31.08.75 Стоматология ортопедическая (уровень подготовки кадров высшей квалификации)"
(Зарегистрировано в Минюсте России 23.10.2014 N 34437)</dc:title>
  <dcterms:created xsi:type="dcterms:W3CDTF">2024-08-16T08:41:38Z</dcterms:created>
</cp:coreProperties>
</file>