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12.08.2020 N 984</w:t>
              <w:br/>
              <w:t xml:space="preserve">(ред. от 27.02.2023)</w:t>
              <w:br/>
              <w:t xml:space="preserve">"Об утверждении федерального государственного образовательного стандарта высшего образования - специалитет по специальности 31.05.03 Стоматология"</w:t>
              <w:br/>
              <w:t xml:space="preserve">(Зарегистрировано в Минюсте России 26.08.2020 N 59473)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26 августа 2020 г. N 59473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августа 2020 г. N 984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ВЫСШЕГО ОБРАЗОВАНИЯ - СПЕЦИАЛИТЕТ ПО СПЕЦИАЛЬНОСТИ</w:t>
      </w:r>
    </w:p>
    <w:p>
      <w:pPr>
        <w:pStyle w:val="2"/>
        <w:jc w:val="center"/>
      </w:pPr>
      <w:r>
        <w:rPr>
          <w:sz w:val="20"/>
        </w:rPr>
        <w:t xml:space="preserve">31.05.03 СТОМАТОЛОГИЯ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26.11.2020 </w:t>
            </w:r>
            <w:hyperlink w:history="0" r:id="rId7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8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N 662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9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РФ от 15.06.2018 N 682 (ред. от 27.06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4.2.38 пункта 4.2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w:history="0" r:id="rId11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высшего образования - специалитет по специальности 31.05.03 Стоматология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высшего образования вправе осуществлять в соответствии со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2" w:tooltip="Приказ Минобрнауки России от 09.02.2016 N 96 (ред. от 13.07.2017) &quot;Об утверждении федерального государственного образовательного стандарта высшего образования по специальности 31.05.03 Стоматология (уровень специалитета)&quot; (Зарегистрировано в Минюсте России 01.03.2016 N 4127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высшего образования по специальности 31.05.03 Стоматология (уровень специалитета), утвержденным приказом Министерства образования и науки Российской Федерации от 9 февраля 2016 г. N 96 (зарегистрирован Министерством юстиции Российской Федерации 1 марта 2016 г., регистрационный N 41275), с изменениями, внесенными приказами Министерства образования и науки Российской Федерации от 8 августа 2016 г. N 964 (зарегистрирован Министерством юстиции Российской Федерации 30 августа 2016 г., регистрационный N 43495)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А.В.НАРУКАВНИКОВ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августа 2020 г. N 984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ВЫСШЕГО ОБРАЗОВАНИЯ - СПЕЦИАЛИТЕТ ПО СПЕЦИАЛЬНОСТИ</w:t>
      </w:r>
    </w:p>
    <w:p>
      <w:pPr>
        <w:pStyle w:val="2"/>
        <w:jc w:val="center"/>
      </w:pPr>
      <w:r>
        <w:rPr>
          <w:sz w:val="20"/>
        </w:rPr>
        <w:t xml:space="preserve">31.05.03 СТОМАТОЛОГИЯ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26.11.2020 </w:t>
            </w:r>
            <w:hyperlink w:history="0" r:id="rId13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14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N 662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5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31.05.03 Стоматология (далее соответственно - программа специалитета, специальность).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Обучение по программе специалитета в Организации осуществляется в 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history="0" r:id="rId16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части 1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3 статьи 16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программы специалитета осуществляется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программе специалитета (вне зависимости от применяемых образовательных технологий):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включая каникулы, предоставляемые после прохождения государственной итоговой аттестации, составляет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инвалидов и лиц с ОВЗ может быть увеличен по их заявлению не более чем на 1 год.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Объем программы специалитета составляет 300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год, составляет не более 75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Организация самостоятельно определяет в пределах сроков и объемов, установленных </w:t>
      </w:r>
      <w:hyperlink w:history="0" w:anchor="P68" w:tooltip="1.9. Срок получения образования по программе специалитета (вне зависимости от применяемых образовательных технологий):">
        <w:r>
          <w:rPr>
            <w:sz w:val="20"/>
            <w:color w:val="0000ff"/>
          </w:rPr>
          <w:t xml:space="preserve">пунктами 1.9</w:t>
        </w:r>
      </w:hyperlink>
      <w:r>
        <w:rPr>
          <w:sz w:val="20"/>
        </w:rPr>
        <w:t xml:space="preserve"> и </w:t>
      </w:r>
      <w:hyperlink w:history="0" w:anchor="P71" w:tooltip="1.10. Объем программы специалитета составляет 30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">
        <w:r>
          <w:rPr>
            <w:sz w:val="20"/>
            <w:color w:val="0000ff"/>
          </w:rPr>
          <w:t xml:space="preserve">1.10</w:t>
        </w:r>
      </w:hyperlink>
      <w:r>
        <w:rPr>
          <w:sz w:val="20"/>
        </w:rPr>
        <w:t xml:space="preserve"> ФГОС 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программе специалитета по индивидуальному учебному плану, в том числе при ускоренном обучении;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специалитета, реализуемый за один учебный год.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01</w:t>
        </w:r>
      </w:hyperlink>
      <w:r>
        <w:rPr>
          <w:sz w:val="20"/>
        </w:rPr>
        <w:t xml:space="preserve"> Образование и наука (в сфере научных исследований);</w:t>
      </w:r>
    </w:p>
    <w:p>
      <w:pPr>
        <w:pStyle w:val="0"/>
        <w:spacing w:before="200" w:line-rule="auto"/>
        <w:ind w:firstLine="540"/>
        <w:jc w:val="both"/>
      </w:pP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(в сфере оказания медицинской помощи при стоматологических заболеваниях);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(в сфере деятельности организаций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область (области) профессиональной деятельности и сферу (сферы)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(типы) задач и задачи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- на объекты профессиональной деятельности выпускников или область (области) 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программы специалитета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программы специалитета включает следующие блоки:</w:t>
      </w:r>
    </w:p>
    <w:p>
      <w:pPr>
        <w:pStyle w:val="0"/>
        <w:spacing w:before="200" w:line-rule="auto"/>
        <w:ind w:firstLine="540"/>
        <w:jc w:val="both"/>
      </w:pPr>
      <w:hyperlink w:history="0" w:anchor="P109" w:tooltip="Блок 1">
        <w:r>
          <w:rPr>
            <w:sz w:val="20"/>
            <w:color w:val="0000ff"/>
          </w:rPr>
          <w:t xml:space="preserve">Блок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hyperlink w:history="0" w:anchor="P112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"Практика";</w:t>
      </w:r>
    </w:p>
    <w:p>
      <w:pPr>
        <w:pStyle w:val="0"/>
        <w:spacing w:before="200" w:line-rule="auto"/>
        <w:ind w:firstLine="540"/>
        <w:jc w:val="both"/>
      </w:pPr>
      <w:hyperlink w:history="0" w:anchor="P115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и объем программы специалитета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4876"/>
        <w:gridCol w:w="2948"/>
      </w:tblGrid>
      <w:tr>
        <w:tc>
          <w:tcPr>
            <w:gridSpan w:val="2"/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программы специалитета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программы специалитета и ее блоков в з.е.</w:t>
            </w:r>
          </w:p>
        </w:tc>
      </w:tr>
      <w:tr>
        <w:tc>
          <w:tcPr>
            <w:tcW w:w="1247" w:type="dxa"/>
            <w:vAlign w:val="center"/>
          </w:tcPr>
          <w:bookmarkStart w:id="109" w:name="P109"/>
          <w:bookmarkEnd w:id="109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1</w:t>
            </w:r>
          </w:p>
        </w:tc>
        <w:tc>
          <w:tcPr>
            <w:tcW w:w="487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270</w:t>
            </w:r>
          </w:p>
        </w:tc>
      </w:tr>
      <w:tr>
        <w:tc>
          <w:tcPr>
            <w:tcW w:w="1247" w:type="dxa"/>
            <w:vAlign w:val="center"/>
          </w:tcPr>
          <w:bookmarkStart w:id="112" w:name="P112"/>
          <w:bookmarkEnd w:id="112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2</w:t>
            </w:r>
          </w:p>
        </w:tc>
        <w:tc>
          <w:tcPr>
            <w:tcW w:w="487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24</w:t>
            </w:r>
          </w:p>
        </w:tc>
      </w:tr>
      <w:tr>
        <w:tc>
          <w:tcPr>
            <w:tcW w:w="1247" w:type="dxa"/>
            <w:vAlign w:val="center"/>
          </w:tcPr>
          <w:bookmarkStart w:id="115" w:name="P115"/>
          <w:bookmarkEnd w:id="115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3</w:t>
            </w:r>
          </w:p>
        </w:tc>
        <w:tc>
          <w:tcPr>
            <w:tcW w:w="487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612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Объем программы специалитета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21" w:name="P121"/>
    <w:bookmarkEnd w:id="121"/>
    <w:p>
      <w:pPr>
        <w:pStyle w:val="0"/>
        <w:ind w:firstLine="540"/>
        <w:jc w:val="both"/>
      </w:pPr>
      <w:r>
        <w:rPr>
          <w:sz w:val="20"/>
        </w:rPr>
        <w:t xml:space="preserve">2.2. Программа специалитета в рамках </w:t>
      </w:r>
      <w:hyperlink w:history="0" w:anchor="P109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дисциплин (модулей) по философии, иностранному языку,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объема, отводимого на реализацию указанной дисциплины (модуля).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25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19.07.2022 N 662)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Программа специалитета должна обеспечивать реализацию дисциплин (модулей) по физической культуре и спорту: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объеме не менее 2 з.е. в рамках </w:t>
      </w:r>
      <w:hyperlink w:history="0" w:anchor="P109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history="0" w:anchor="P109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 реализуется дисциплина (модуль) "Физическая подготовка" в объеме не менее 11 з.е.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</w:t>
      </w:r>
      <w:hyperlink w:history="0" w:anchor="P112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 входят учебная и производственная практики (далее вместе - практики).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учебной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ознакомительная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практика по получению первичных профессиональных умений и навыков на должностях среднего медицинского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 (получение первичных навыков научно-исследовательской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производственной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практика по получению профессиональных умений и опыта профессиональной деятельности (по профилактической стоматологии, по терапевтической стоматологии, по хирургической стоматологии, по ортопедической стоматологии, по детской стоматологии);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клиническая практика по стоматологии общей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дополнение к типам практик, указанным в </w:t>
      </w:r>
      <w:hyperlink w:history="0" w:anchor="P131" w:tooltip="2.4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ВО, ПООП может также содержать рекомендуемые типы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history="0" w:anchor="P131" w:tooltip="2.4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выбрать один или несколько типов учебной практики и (или) производственной практики из рекомендуемых ПООП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установить дополнительный тип (типы) учебной и (или) производственной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объемы практик каждого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</w:t>
      </w:r>
      <w:hyperlink w:history="0" w:anchor="P115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 входит подготовка к сдаче и сдача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дисциплины (модули) не включаются в объем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Реализация практической подготовки 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&lt;5&gt;, а также проведение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6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2.10.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 В рамках программы специалитета выделяются обязательная часть и часть, формируемая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обязательную часть программы специалитета включаются,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(модули), указанные в </w:t>
      </w:r>
      <w:hyperlink w:history="0" w:anchor="P121" w:tooltip="2.2. Программа специалитета в рамках Блока 1 &quot;Дисциплины (модули)&quot; должна обеспечивать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history="0" w:anchor="P109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менее 80 процентов общего объема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программы специалитета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Программа специалитета должна устанавливать следующие универсальные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универсальной компетенции выпускника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Системное и критическое мышление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проектов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УК-2. Способен управлять проектом на всех этапах его жизненного цикла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Командная работа и лидерство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Коммуникация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Межкультурное взаимодействие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УК-5.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Инклюзивная компетентность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УК-9. Способен использовать базовые дефектологические знания в социальной и профессиональной сферах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УК-10. Способен принимать обоснованные экономические решения в различных областях жизнедеятельности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Гражданская позиция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27.02.2023 N 208)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Программа специалитета должна устанавливать следующие общепрофессиональные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общепрофессиональной компетенции выпускника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Этические и правовые основы профессиональной деятельности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ОПК-1.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ОПК-2. Способен анализировать результаты собственной деятельности для предотвращения профессиональных ошибок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ОПК-3. Способен к противодействию применения допинга в спорте и борьбе с ним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здорового образа жизни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ОПК-4.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Диагностика и лечение заболеваний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ОПК-5. Способен проводить обследование пациента с целью установления диагноза при решении профессиональных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ОПК-7. Способен организовывать работу и принимать профессиональные решения при неотложных состояниях, в условиях чрезвычайных ситуаций, эпидемий и в очагах массового поражения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Основы фундаментальных и естественно-научных знаний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ОПК-8.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ОПК-9.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ОПК-10. Способен организовывать работу младшего и среднего медицинского персонала по уходу за больными</w:t>
            </w:r>
          </w:p>
        </w:tc>
      </w:tr>
      <w:tr>
        <w:tc>
          <w:tcPr>
            <w:vMerge w:val="continue"/>
          </w:tcPr>
          <w:p/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ОПК-11. Способен реализовывать принципы менеджмента качества в профессиональной деятельности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Медицинская реабилитация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ОПК-12. Способен реализовывать и осуществлять контроль эффективности медицинской реабилитации стоматологического пациента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грамотность</w:t>
            </w:r>
          </w:p>
        </w:tc>
        <w:tc>
          <w:tcPr>
            <w:tcW w:w="6406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ОПК-13.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26.11.2020 N 1456)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history="0" w:anchor="P53" w:tooltip="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N 273-ФЗ &quot;Об образовании в Российской Федерации&quot; (далее - федеральные государственные организации, осуществляющие подготовку кадров в интересах обороны и безопасности государства, обеспечения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ФГОС 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специалитета,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history="0" w:anchor="P312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w:history="0" r:id="rId31">
        <w:r>
          <w:rPr>
            <w:sz w:val="20"/>
            <w:color w:val="0000ff"/>
          </w:rPr>
          <w:t xml:space="preserve">http://profstandart.rosmintrud.ru</w:t>
        </w:r>
      </w:hyperlink>
      <w:r>
        <w:rPr>
          <w:sz w:val="20"/>
        </w:rPr>
        <w:t xml:space="preserve">) &lt;8&gt; (при наличии соответствующих профессиональных стандартов).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&lt;9&gt; и требований раздела "Требования к образованию и обучению". ОТФ может быть выделена полностью или частично.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3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history="0" w:anchor="P77" w:tooltip="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">
        <w:r>
          <w:rPr>
            <w:sz w:val="20"/>
            <w:color w:val="0000ff"/>
          </w:rPr>
          <w:t xml:space="preserve">пунктом 1.12</w:t>
        </w:r>
      </w:hyperlink>
      <w:r>
        <w:rPr>
          <w:sz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history="0" w:anchor="P85" w:tooltip="1.13. В рамках освоения программы специалитета выпускники могут готовиться к решению задач профессиональной деятельности следующих типов:">
        <w:r>
          <w:rPr>
            <w:sz w:val="20"/>
            <w:color w:val="0000ff"/>
          </w:rPr>
          <w:t xml:space="preserve">пунктом 1.13</w:t>
        </w:r>
      </w:hyperlink>
      <w:r>
        <w:rPr>
          <w:sz w:val="20"/>
        </w:rPr>
        <w:t xml:space="preserve">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Организация устанавливает в программе специалитета индикаторы достижения компетенций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 программы специалитета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4.2. Общесистемные требования к реализации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history="0" w:anchor="P109" w:tooltip="Блок 1">
        <w:r>
          <w:rPr>
            <w:sz w:val="20"/>
            <w:color w:val="0000ff"/>
          </w:rPr>
          <w:t xml:space="preserve">Блоку 1</w:t>
        </w:r>
      </w:hyperlink>
      <w:r>
        <w:rPr>
          <w:sz w:val="20"/>
        </w:rPr>
        <w:t xml:space="preserve"> "Дисциплины (модули)" и </w:t>
      </w:r>
      <w:hyperlink w:history="0" w:anchor="P115" w:tooltip="Блок 3">
        <w:r>
          <w:rPr>
            <w:sz w:val="20"/>
            <w:color w:val="0000ff"/>
          </w:rPr>
          <w:t xml:space="preserve">Блоку 3</w:t>
        </w:r>
      </w:hyperlink>
      <w:r>
        <w:rPr>
          <w:sz w:val="20"/>
        </w:rPr>
        <w:t xml:space="preserve"> "Государственная итоговая аттестация" в соответствии с учебным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Электронная информационно-образовательная среда Организации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фиксацию хода образовательного процесса, результатов промежуточной аттестации и результатов освоения программы специалитета;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Федеральный </w:t>
      </w:r>
      <w:hyperlink w:history="0" r:id="rId34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w:history="0" r:id="rId3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Требования к материально-техническому и учебно-методическому обеспечению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замена оборудования его виртуальными аналогами.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кадровым условиям реализации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финансовым условиям реализации программы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6" w:tooltip="Постановление Правительства РФ от 26.06.2015 N 640 (ред. от 16.05.2023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</w:t>
      </w:r>
    </w:p>
    <w:p>
      <w:pPr>
        <w:pStyle w:val="0"/>
        <w:jc w:val="right"/>
      </w:pPr>
      <w:r>
        <w:rPr>
          <w:sz w:val="20"/>
        </w:rPr>
        <w:t xml:space="preserve">высшего образования - специалитет</w:t>
      </w:r>
    </w:p>
    <w:p>
      <w:pPr>
        <w:pStyle w:val="0"/>
        <w:jc w:val="right"/>
      </w:pPr>
      <w:r>
        <w:rPr>
          <w:sz w:val="20"/>
        </w:rPr>
        <w:t xml:space="preserve">по специальности 31.05.03 Стоматология,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науки 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августа 2020 г. N 984</w:t>
      </w:r>
    </w:p>
    <w:p>
      <w:pPr>
        <w:pStyle w:val="0"/>
        <w:jc w:val="both"/>
      </w:pPr>
      <w:r>
        <w:rPr>
          <w:sz w:val="20"/>
        </w:rPr>
      </w:r>
    </w:p>
    <w:bookmarkStart w:id="312" w:name="P312"/>
    <w:bookmarkEnd w:id="31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ВЫПУСКНИКОВ, ОСВОИВШИХ</w:t>
      </w:r>
    </w:p>
    <w:p>
      <w:pPr>
        <w:pStyle w:val="2"/>
        <w:jc w:val="center"/>
      </w:pPr>
      <w:r>
        <w:rPr>
          <w:sz w:val="20"/>
        </w:rPr>
        <w:t xml:space="preserve">ПРОГРАММУ СПЕЦИАЛИТЕТА ПО СПЕЦИАЛЬНОСТИ</w:t>
      </w:r>
    </w:p>
    <w:p>
      <w:pPr>
        <w:pStyle w:val="2"/>
        <w:jc w:val="center"/>
      </w:pPr>
      <w:r>
        <w:rPr>
          <w:sz w:val="20"/>
        </w:rPr>
        <w:t xml:space="preserve">31.05.03 СТОМАТОЛОГИЯ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247"/>
        <w:gridCol w:w="7313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области профессиональной деятельности. Наименование профессионального стандарта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 Здравоохранение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02.005</w:t>
            </w:r>
          </w:p>
        </w:tc>
        <w:tc>
          <w:tcPr>
            <w:tcW w:w="731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37" w:tooltip="Приказ Минтруда России от 10.05.2016 N 227н &quot;Об утверждении профессионального стандарта &quot;Врач-стоматолог&quot; (Зарегистрировано в Минюсте России 02.06.2016 N 4239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"Врач-стоматолог", утвержденный приказом Министерства труда и социальной защиты Российской Федерации от 10 мая 2016 г. N 227н (зарегистрирован Министерством юстиции Российской Федерации 2 июня 2016 г., регистрационный N 42399)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12.08.2020 N 984</w:t>
            <w:br/>
            <w:t>(ред. от 27.02.2023)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5079&amp;dst=105182" TargetMode = "External"/>
	<Relationship Id="rId8" Type="http://schemas.openxmlformats.org/officeDocument/2006/relationships/hyperlink" Target="https://login.consultant.ru/link/?req=doc&amp;base=LAW&amp;n=428382&amp;dst=101135" TargetMode = "External"/>
	<Relationship Id="rId9" Type="http://schemas.openxmlformats.org/officeDocument/2006/relationships/hyperlink" Target="https://login.consultant.ru/link/?req=doc&amp;base=LAW&amp;n=443783&amp;dst=102526" TargetMode = "External"/>
	<Relationship Id="rId10" Type="http://schemas.openxmlformats.org/officeDocument/2006/relationships/hyperlink" Target="https://login.consultant.ru/link/?req=doc&amp;base=LAW&amp;n=479828&amp;dst=100059" TargetMode = "External"/>
	<Relationship Id="rId11" Type="http://schemas.openxmlformats.org/officeDocument/2006/relationships/hyperlink" Target="https://login.consultant.ru/link/?req=doc&amp;base=LAW&amp;n=481262&amp;dst=100072" TargetMode = "External"/>
	<Relationship Id="rId12" Type="http://schemas.openxmlformats.org/officeDocument/2006/relationships/hyperlink" Target="https://login.consultant.ru/link/?req=doc&amp;base=LAW&amp;n=222389&amp;dst=100013" TargetMode = "External"/>
	<Relationship Id="rId13" Type="http://schemas.openxmlformats.org/officeDocument/2006/relationships/hyperlink" Target="https://login.consultant.ru/link/?req=doc&amp;base=LAW&amp;n=385079&amp;dst=105182" TargetMode = "External"/>
	<Relationship Id="rId14" Type="http://schemas.openxmlformats.org/officeDocument/2006/relationships/hyperlink" Target="https://login.consultant.ru/link/?req=doc&amp;base=LAW&amp;n=428382&amp;dst=101135" TargetMode = "External"/>
	<Relationship Id="rId15" Type="http://schemas.openxmlformats.org/officeDocument/2006/relationships/hyperlink" Target="https://login.consultant.ru/link/?req=doc&amp;base=LAW&amp;n=443783&amp;dst=102526" TargetMode = "External"/>
	<Relationship Id="rId16" Type="http://schemas.openxmlformats.org/officeDocument/2006/relationships/hyperlink" Target="https://login.consultant.ru/link/?req=doc&amp;base=LAW&amp;n=478592&amp;dst=39" TargetMode = "External"/>
	<Relationship Id="rId17" Type="http://schemas.openxmlformats.org/officeDocument/2006/relationships/hyperlink" Target="https://login.consultant.ru/link/?req=doc&amp;base=LAW&amp;n=478592" TargetMode = "External"/>
	<Relationship Id="rId18" Type="http://schemas.openxmlformats.org/officeDocument/2006/relationships/hyperlink" Target="https://login.consultant.ru/link/?req=doc&amp;base=LAW&amp;n=478592&amp;dst=101067" TargetMode = "External"/>
	<Relationship Id="rId19" Type="http://schemas.openxmlformats.org/officeDocument/2006/relationships/hyperlink" Target="https://login.consultant.ru/link/?req=doc&amp;base=LAW&amp;n=478592&amp;dst=217" TargetMode = "External"/>
	<Relationship Id="rId20" Type="http://schemas.openxmlformats.org/officeDocument/2006/relationships/hyperlink" Target="https://login.consultant.ru/link/?req=doc&amp;base=LAW&amp;n=478592&amp;dst=100249" TargetMode = "External"/>
	<Relationship Id="rId21" Type="http://schemas.openxmlformats.org/officeDocument/2006/relationships/hyperlink" Target="https://login.consultant.ru/link/?req=doc&amp;base=LAW&amp;n=214720&amp;dst=100047" TargetMode = "External"/>
	<Relationship Id="rId22" Type="http://schemas.openxmlformats.org/officeDocument/2006/relationships/hyperlink" Target="https://login.consultant.ru/link/?req=doc&amp;base=LAW&amp;n=214720&amp;dst=100050" TargetMode = "External"/>
	<Relationship Id="rId23" Type="http://schemas.openxmlformats.org/officeDocument/2006/relationships/hyperlink" Target="https://login.consultant.ru/link/?req=doc&amp;base=LAW&amp;n=214720&amp;dst=100052" TargetMode = "External"/>
	<Relationship Id="rId24" Type="http://schemas.openxmlformats.org/officeDocument/2006/relationships/hyperlink" Target="https://login.consultant.ru/link/?req=doc&amp;base=LAW&amp;n=214720&amp;dst=100052" TargetMode = "External"/>
	<Relationship Id="rId25" Type="http://schemas.openxmlformats.org/officeDocument/2006/relationships/hyperlink" Target="https://login.consultant.ru/link/?req=doc&amp;base=LAW&amp;n=428382&amp;dst=101135" TargetMode = "External"/>
	<Relationship Id="rId26" Type="http://schemas.openxmlformats.org/officeDocument/2006/relationships/hyperlink" Target="https://login.consultant.ru/link/?req=doc&amp;base=LAW&amp;n=154176" TargetMode = "External"/>
	<Relationship Id="rId27" Type="http://schemas.openxmlformats.org/officeDocument/2006/relationships/hyperlink" Target="https://login.consultant.ru/link/?req=doc&amp;base=LAW&amp;n=478592&amp;dst=101067" TargetMode = "External"/>
	<Relationship Id="rId28" Type="http://schemas.openxmlformats.org/officeDocument/2006/relationships/hyperlink" Target="https://login.consultant.ru/link/?req=doc&amp;base=LAW&amp;n=443783&amp;dst=102526" TargetMode = "External"/>
	<Relationship Id="rId29" Type="http://schemas.openxmlformats.org/officeDocument/2006/relationships/hyperlink" Target="https://login.consultant.ru/link/?req=doc&amp;base=LAW&amp;n=385079&amp;dst=105183" TargetMode = "External"/>
	<Relationship Id="rId30" Type="http://schemas.openxmlformats.org/officeDocument/2006/relationships/hyperlink" Target="https://login.consultant.ru/link/?req=doc&amp;base=LAW&amp;n=478592&amp;dst=101067" TargetMode = "External"/>
	<Relationship Id="rId31" Type="http://schemas.openxmlformats.org/officeDocument/2006/relationships/hyperlink" Target="http://profstandart.rosmintrud.ru" TargetMode = "External"/>
	<Relationship Id="rId32" Type="http://schemas.openxmlformats.org/officeDocument/2006/relationships/hyperlink" Target="https://login.consultant.ru/link/?req=doc&amp;base=LAW&amp;n=214720&amp;dst=100006" TargetMode = "External"/>
	<Relationship Id="rId33" Type="http://schemas.openxmlformats.org/officeDocument/2006/relationships/hyperlink" Target="https://login.consultant.ru/link/?req=doc&amp;base=LAW&amp;n=146970" TargetMode = "External"/>
	<Relationship Id="rId34" Type="http://schemas.openxmlformats.org/officeDocument/2006/relationships/hyperlink" Target="https://login.consultant.ru/link/?req=doc&amp;base=LAW&amp;n=464157" TargetMode = "External"/>
	<Relationship Id="rId35" Type="http://schemas.openxmlformats.org/officeDocument/2006/relationships/hyperlink" Target="https://login.consultant.ru/link/?req=doc&amp;base=LAW&amp;n=439201" TargetMode = "External"/>
	<Relationship Id="rId36" Type="http://schemas.openxmlformats.org/officeDocument/2006/relationships/hyperlink" Target="https://login.consultant.ru/link/?req=doc&amp;base=LAW&amp;n=447397&amp;dst=100518" TargetMode = "External"/>
	<Relationship Id="rId37" Type="http://schemas.openxmlformats.org/officeDocument/2006/relationships/hyperlink" Target="https://login.consultant.ru/link/?req=doc&amp;base=LAW&amp;n=199094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12.08.2020 N 984
(ред. от 27.02.2023)
"Об утверждении федерального государственного образовательного стандарта высшего образования - специалитет по специальности 31.05.03 Стоматология"
(Зарегистрировано в Минюсте России 26.08.2020 N 59473)</dc:title>
  <dcterms:created xsi:type="dcterms:W3CDTF">2024-08-16T08:56:09Z</dcterms:created>
</cp:coreProperties>
</file>