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26.05.2020 N 684</w:t>
              <w:br/>
              <w:t xml:space="preserve">"Об утверждении федерального государственного образовательного стандарта высшего образования - магистратура по направлению подготовки 34.04.01 Управление сестринской деятельностью"</w:t>
              <w:br/>
              <w:t xml:space="preserve">(Зарегистрировано в Минюсте России 03.07.2020 N 58816)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 июля 2020 г. N 58816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26 мая 2020 г. N 684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ВЫСШЕГО ОБРАЗОВАНИЯ - МАГИСТРАТУРА ПО НАПРАВЛЕНИЮ</w:t>
      </w:r>
    </w:p>
    <w:p>
      <w:pPr>
        <w:pStyle w:val="2"/>
        <w:jc w:val="center"/>
      </w:pPr>
      <w:r>
        <w:rPr>
          <w:sz w:val="20"/>
        </w:rPr>
        <w:t xml:space="preserve">ПОДГОТОВКИ 34.04.01 УПРАВЛЕНИЕ СЕСТРИНСКОЙ ДЕЯТЕЛЬНОСТЬЮ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15.06.2018 N 682 (ред. от 27.06.2024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4.2.38 пункта 4.2</w:t>
        </w:r>
      </w:hyperlink>
      <w:r>
        <w:rPr>
          <w:sz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2019, N 42, ст. 5926), и </w:t>
      </w:r>
      <w:hyperlink w:history="0" r:id="rId8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федеральный государственный образовательный </w:t>
      </w:r>
      <w:hyperlink w:history="0" w:anchor="P33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высшего образования - магистратура по направлению подготовки 34.04.01 Управление сестринской деятельностью.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В.Н.ФАЛЬКОВ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науки</w:t>
      </w:r>
    </w:p>
    <w:p>
      <w:pPr>
        <w:pStyle w:val="0"/>
        <w:jc w:val="right"/>
      </w:pPr>
      <w:r>
        <w:rPr>
          <w:sz w:val="20"/>
        </w:rPr>
        <w:t xml:space="preserve">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мая 2020 г. N 684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ВЫСШЕГО ОБРАЗОВАНИЯ - МАГИСТРАТУРА ПО НАПРАВЛЕНИЮ</w:t>
      </w:r>
    </w:p>
    <w:p>
      <w:pPr>
        <w:pStyle w:val="2"/>
        <w:jc w:val="center"/>
      </w:pPr>
      <w:r>
        <w:rPr>
          <w:sz w:val="20"/>
        </w:rPr>
        <w:t xml:space="preserve">ПОДГОТОВКИ 34.04.01 УПРАВЛЕНИЕ СЕСТРИНСКОЙ ДЕЯТЕЛЬНОСТЬЮ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34.04.01 Управление сестринской деятельностью (далее соответственно - программа магистратуры, направление подготовки).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Обучение по программе магистратуры в Организации может осуществляться в очной, очно-заочной и заочной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программы магистратуры с применением исключительно электронного обучения, дистанционных образовательных технологий не допускается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9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Часть 3 статьи 16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программы магистратуры осуществляется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0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55" w:name="P55"/>
    <w:bookmarkEnd w:id="55"/>
    <w:p>
      <w:pPr>
        <w:pStyle w:val="0"/>
        <w:ind w:firstLine="540"/>
        <w:jc w:val="both"/>
      </w:pPr>
      <w:r>
        <w:rPr>
          <w:sz w:val="20"/>
        </w:rPr>
        <w:t xml:space="preserve">1.8. Срок получения образования по программе магистратуры (вне зависимости от применяемых образовательных технологий):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Организация самостоятельно определяет в пределах сроков и объемов, установленных </w:t>
      </w:r>
      <w:hyperlink w:history="0" w:anchor="P55" w:tooltip="1.8. Срок получения образования по программе магистратуры (вне зависимости от применяемых образовательных технологий):">
        <w:r>
          <w:rPr>
            <w:sz w:val="20"/>
            <w:color w:val="0000ff"/>
          </w:rPr>
          <w:t xml:space="preserve">пунктами 1.8</w:t>
        </w:r>
      </w:hyperlink>
      <w:r>
        <w:rPr>
          <w:sz w:val="20"/>
        </w:rPr>
        <w:t xml:space="preserve"> и </w:t>
      </w:r>
      <w:hyperlink w:history="0" w:anchor="P59" w:tooltip="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">
        <w:r>
          <w:rPr>
            <w:sz w:val="20"/>
            <w:color w:val="0000ff"/>
          </w:rPr>
          <w:t xml:space="preserve">1.9</w:t>
        </w:r>
      </w:hyperlink>
      <w:r>
        <w:rPr>
          <w:sz w:val="20"/>
        </w:rPr>
        <w:t xml:space="preserve"> ФГОС 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программы магистратуры, реализуемый за один учебный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Области профессиональной деятельности &lt;3&gt;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2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01</w:t>
        </w:r>
      </w:hyperlink>
      <w:r>
        <w:rPr>
          <w:sz w:val="20"/>
        </w:rPr>
        <w:t xml:space="preserve"> Образование и наука (в сферах: профессионального обучения, профессионального образования и дополнительного профессионального образования кадров в области здравоохранения; научных исследований);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02</w:t>
        </w:r>
      </w:hyperlink>
      <w:r>
        <w:rPr>
          <w:sz w:val="20"/>
        </w:rPr>
        <w:t xml:space="preserve"> Здравоохранение (в сферах: организации и управления сестринской деятельностью; контроля качества медицинской помощи; организационно-методической деятельности; организации статистического учета; управления структурным подразделением медицинской организации);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07</w:t>
        </w:r>
      </w:hyperlink>
      <w:r>
        <w:rPr>
          <w:sz w:val="20"/>
        </w:rPr>
        <w:t xml:space="preserve"> Административно-управленческая и офисная деятельность (в сфере управления персоналом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научно-исследовательский;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экспертно-аналитический;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организационно-управленческий;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педагогический.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область (области) профессиональной деятельности и (или) сферу (сферы) профессиональной деятельности выпускников;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 (типы) задач и задачи профессиональной деятельности выпускников;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- на объекты профессиональной деятельности выпускников или область (области) знания.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иными нормативными правовыми актами в области защиты государственной тайны.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программы магистратуры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программы магистратуры включает следующие блоки:</w:t>
      </w:r>
    </w:p>
    <w:p>
      <w:pPr>
        <w:pStyle w:val="0"/>
        <w:spacing w:before="200" w:line-rule="auto"/>
        <w:ind w:firstLine="540"/>
        <w:jc w:val="both"/>
      </w:pPr>
      <w:hyperlink w:history="0" w:anchor="P98" w:tooltip="Блок 1">
        <w:r>
          <w:rPr>
            <w:sz w:val="20"/>
            <w:color w:val="0000ff"/>
          </w:rPr>
          <w:t xml:space="preserve">Блок 1</w:t>
        </w:r>
      </w:hyperlink>
      <w:r>
        <w:rPr>
          <w:sz w:val="20"/>
        </w:rPr>
        <w:t xml:space="preserve"> "Дисциплины (модули)";</w:t>
      </w:r>
    </w:p>
    <w:p>
      <w:pPr>
        <w:pStyle w:val="0"/>
        <w:spacing w:before="200" w:line-rule="auto"/>
        <w:ind w:firstLine="540"/>
        <w:jc w:val="both"/>
      </w:pPr>
      <w:hyperlink w:history="0" w:anchor="P101" w:tooltip="Блок 2">
        <w:r>
          <w:rPr>
            <w:sz w:val="20"/>
            <w:color w:val="0000ff"/>
          </w:rPr>
          <w:t xml:space="preserve">Блок 2</w:t>
        </w:r>
      </w:hyperlink>
      <w:r>
        <w:rPr>
          <w:sz w:val="20"/>
        </w:rPr>
        <w:t xml:space="preserve"> "Практика";</w:t>
      </w:r>
    </w:p>
    <w:p>
      <w:pPr>
        <w:pStyle w:val="0"/>
        <w:spacing w:before="200" w:line-rule="auto"/>
        <w:ind w:firstLine="540"/>
        <w:jc w:val="both"/>
      </w:pPr>
      <w:hyperlink w:history="0" w:anchor="P104" w:tooltip="Блок 3">
        <w:r>
          <w:rPr>
            <w:sz w:val="20"/>
            <w:color w:val="0000ff"/>
          </w:rPr>
          <w:t xml:space="preserve">Блок 3</w:t>
        </w:r>
      </w:hyperlink>
      <w:r>
        <w:rPr>
          <w:sz w:val="20"/>
        </w:rPr>
        <w:t xml:space="preserve"> "Государственная итоговая аттестация".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и объем программы магистратуры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54"/>
        <w:gridCol w:w="3912"/>
        <w:gridCol w:w="3685"/>
      </w:tblGrid>
      <w:tr>
        <w:tc>
          <w:tcPr>
            <w:gridSpan w:val="2"/>
            <w:tcW w:w="53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программы магистратуры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программы магистратуры и ее блоков в з.е.</w:t>
            </w:r>
          </w:p>
        </w:tc>
      </w:tr>
      <w:tr>
        <w:tc>
          <w:tcPr>
            <w:tcW w:w="1454" w:type="dxa"/>
          </w:tcPr>
          <w:bookmarkStart w:id="98" w:name="P98"/>
          <w:bookmarkEnd w:id="98"/>
          <w:p>
            <w:pPr>
              <w:pStyle w:val="0"/>
              <w:jc w:val="center"/>
            </w:pPr>
            <w:r>
              <w:rPr>
                <w:sz w:val="20"/>
              </w:rPr>
              <w:t xml:space="preserve">Блок 1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80</w:t>
            </w:r>
          </w:p>
        </w:tc>
      </w:tr>
      <w:tr>
        <w:tc>
          <w:tcPr>
            <w:tcW w:w="1454" w:type="dxa"/>
          </w:tcPr>
          <w:bookmarkStart w:id="101" w:name="P101"/>
          <w:bookmarkEnd w:id="101"/>
          <w:p>
            <w:pPr>
              <w:pStyle w:val="0"/>
              <w:jc w:val="center"/>
            </w:pPr>
            <w:r>
              <w:rPr>
                <w:sz w:val="20"/>
              </w:rPr>
              <w:t xml:space="preserve">Блок 2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21</w:t>
            </w:r>
          </w:p>
        </w:tc>
      </w:tr>
      <w:tr>
        <w:tc>
          <w:tcPr>
            <w:tcW w:w="1454" w:type="dxa"/>
          </w:tcPr>
          <w:bookmarkStart w:id="104" w:name="P104"/>
          <w:bookmarkEnd w:id="104"/>
          <w:p>
            <w:pPr>
              <w:pStyle w:val="0"/>
              <w:jc w:val="center"/>
            </w:pPr>
            <w:r>
              <w:rPr>
                <w:sz w:val="20"/>
              </w:rPr>
              <w:t xml:space="preserve">Блок 3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6 - 9</w:t>
            </w:r>
          </w:p>
        </w:tc>
      </w:tr>
      <w:tr>
        <w:tc>
          <w:tcPr>
            <w:gridSpan w:val="2"/>
            <w:tcW w:w="5366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Объем программы магистратуры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bookmarkStart w:id="110" w:name="P110"/>
    <w:bookmarkEnd w:id="110"/>
    <w:p>
      <w:pPr>
        <w:pStyle w:val="0"/>
        <w:ind w:firstLine="540"/>
        <w:jc w:val="both"/>
      </w:pPr>
      <w:r>
        <w:rPr>
          <w:sz w:val="20"/>
        </w:rPr>
        <w:t xml:space="preserve">2.2. В </w:t>
      </w:r>
      <w:hyperlink w:history="0" w:anchor="P101" w:tooltip="Блок 2">
        <w:r>
          <w:rPr>
            <w:sz w:val="20"/>
            <w:color w:val="0000ff"/>
          </w:rPr>
          <w:t xml:space="preserve">Блок 2</w:t>
        </w:r>
      </w:hyperlink>
      <w:r>
        <w:rPr>
          <w:sz w:val="20"/>
        </w:rPr>
        <w:t xml:space="preserve"> "Практика" входят учебная и производственная практики (далее вместе - практики).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Типы учебной практики: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ознакомительная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(проектно-технологическая)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научно-исследовательская работа (получение первичных навыков научно-исследовательской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Типы производственной практики: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организационно-управленческая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педагогическая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(проектно-технологическая)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научно-исследовательская работа.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дополнение к типам практик, указанным в </w:t>
      </w:r>
      <w:hyperlink w:history="0" w:anchor="P110" w:tooltip="2.2. В Блок 2 &quot;Практика&quot; входят учебная и производственная практики (далее вместе - практики).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ФГОС ВО, ПООП может также содержать рекомендуемые типы практик.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history="0" w:anchor="P110" w:tooltip="2.2. В Блок 2 &quot;Практика&quot; входят учебная и производственная практики (далее вместе - практики).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ФГОС 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вправе выбрать один или несколько типов учебной практики и (или) производственной практики из рекомендуемых ПООП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вправе установить дополнительный тип (типы) учебной и (или) производственной практик;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объемы практик каждого типа.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В </w:t>
      </w:r>
      <w:hyperlink w:history="0" w:anchor="P104" w:tooltip="Блок 3">
        <w:r>
          <w:rPr>
            <w:sz w:val="20"/>
            <w:color w:val="0000ff"/>
          </w:rPr>
          <w:t xml:space="preserve">Блок 3</w:t>
        </w:r>
      </w:hyperlink>
      <w:r>
        <w:rPr>
          <w:sz w:val="20"/>
        </w:rPr>
        <w:t xml:space="preserve"> "Государственная итоговая аттестация"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к процедуре защиты и защита выпускной квалификационной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Факультативные дисциплины (модули) не включаются в объем программы магистратуры.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Реализация практической подготовки обучающихся, осуществляемой в соответствии с </w:t>
      </w:r>
      <w:hyperlink w:history="0" r:id="rId15" w:tooltip="Приказ Минздрава России от 03.09.2013 N 620н &quot;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&quot; (Зарегистрировано в Минюсте России 01.11.2013 N 30304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&lt;4&gt;, а также государственной итоговой аттестации, не допускается с применением электронного обучения, дистанционных образовательных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6" w:tooltip="Приказ Минздрава России от 03.09.2013 N 620н &quot;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&quot; (Зарегистрировано в Минюсте России 01.11.2013 N 3030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3 сентября 2013 г. N 620н "Об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образования" (зарегистрирован Министерством юстиции Российской Федерации 1 ноября 2013 г., регистрационный N 30304).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2.8. В рамках программы магистратуры выделяются обязательная часть и часть, формируемая участниками образовательных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программы магистратуры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Программа магистратуры должна устанавливать следующие универсальные компетенции: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6293"/>
      </w:tblGrid>
      <w:tr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и наименование универсальной компетенции выпускника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Системное и критическое мышление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Разработка и реализация проектов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УК-2. Способен управлять проектом на всех этапах его жизненного цикла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Командная работа и лидерство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Коммуникация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Межкультурное взаимодействие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УК-5. Способен анализировать и учитывать разнообразие культур в процессе межкультурного взаимодействия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Программа магистратуры должна устанавливать следующие общепрофессиональные компетенции: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6293"/>
      </w:tblGrid>
      <w:tr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и наименование общепрофессиональной компетенции выпускника</w:t>
            </w:r>
          </w:p>
        </w:tc>
      </w:tr>
      <w:tr>
        <w:tc>
          <w:tcPr>
            <w:tcW w:w="277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Организационно-управленческая деятельность</w:t>
            </w:r>
          </w:p>
        </w:tc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ОПК-1. Способен осуществлять и оптимизировать профессиональную деятельность в соответствии с нормативными правовыми актами в сфере здравоохранения и нормами профессиональной этики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ОПК-2. Способен разрабатывать и реализовывать организационно-управленческие решения по профилю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ОПК-3. Способен разрабатывать и внедрять маркетинговые стратегии и программы в деятельность сестринской службы медицинской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ОПК-4. Способен разрабатывать и внедрять системы управления качеством предоставляемых сестринских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ОПК-5. Способен планировать и организовывать взаимодействие участников лечебно-диагностического процесса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Инновационная деятельность</w:t>
            </w:r>
          </w:p>
        </w:tc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ОПК-6. Способен определять потребности в изменениях деятельности медицинской организации, составлять программы нововведений и разрабатывать план мероприятий по их реализации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Проектно-технологическая деятельность</w:t>
            </w:r>
          </w:p>
        </w:tc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ОПК-7. Способен формировать технологические процессы, обеспечивающие деятельность медицинской организации, осуществлять внедрение технологических изменений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Педагогическая деятельность</w:t>
            </w:r>
          </w:p>
        </w:tc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ОПК-8. Способен в сфере своей профессиональной деятельности разрабатывать учебно-методические материалы, образовательные программы, проводить обучение в области здравоохранения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Научно-исследовательская деятельность</w:t>
            </w:r>
          </w:p>
        </w:tc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ОПК-9. Способен организовывать и проводить научные исследования в рамках своей профессиональной деятельности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history="0" w:anchor="P260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w:history="0" r:id="rId17">
        <w:r>
          <w:rPr>
            <w:sz w:val="20"/>
            <w:color w:val="0000ff"/>
          </w:rPr>
          <w:t xml:space="preserve">http://profstandart.rosmintrud.ru</w:t>
        </w:r>
      </w:hyperlink>
      <w:r>
        <w:rPr>
          <w:sz w:val="20"/>
        </w:rPr>
        <w:t xml:space="preserve">) &lt;5&gt; (при наличии соответствующих профессиональных стандартов).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&lt;6&gt; и требований раздела "Требования к образованию и обучению". ОТФ может быть выделена полностью или частично.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9" w:tooltip="Приказ Минтруда России от 12.04.2013 N 148н &quot;Об утверждении уровней квалификации в целях разработки проектов профессиональных стандартов&quot; (Зарегистрировано в Минюсте России 27.05.2013 N 2853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history="0" w:anchor="P72" w:tooltip="1.12. В рамках освоения программы магистратуры выпускники могут готовиться к решению задач профессиональной деятельности следующих типов:">
        <w:r>
          <w:rPr>
            <w:sz w:val="20"/>
            <w:color w:val="0000ff"/>
          </w:rPr>
          <w:t xml:space="preserve">пунктом 1.12</w:t>
        </w:r>
      </w:hyperlink>
      <w:r>
        <w:rPr>
          <w:sz w:val="20"/>
        </w:rP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history="0" w:anchor="P79" w:tooltip="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">
        <w:r>
          <w:rPr>
            <w:sz w:val="20"/>
            <w:color w:val="0000ff"/>
          </w:rPr>
          <w:t xml:space="preserve">пунктом 1.13</w:t>
        </w:r>
      </w:hyperlink>
      <w:r>
        <w:rPr>
          <w:sz w:val="20"/>
        </w:rPr>
        <w:t xml:space="preserve"> ФГОС 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Организация устанавливает в программе магистратуры индикаторы достижения компетенций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 программы магистратуры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4.2. Общесистемные требования к реализации программы магистратуры.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history="0" w:anchor="P98" w:tooltip="Блок 1">
        <w:r>
          <w:rPr>
            <w:sz w:val="20"/>
            <w:color w:val="0000ff"/>
          </w:rPr>
          <w:t xml:space="preserve">Блоку 1</w:t>
        </w:r>
      </w:hyperlink>
      <w:r>
        <w:rPr>
          <w:sz w:val="20"/>
        </w:rPr>
        <w:t xml:space="preserve"> "Дисциплины (модули)" и </w:t>
      </w:r>
      <w:hyperlink w:history="0" w:anchor="P104" w:tooltip="Блок 3">
        <w:r>
          <w:rPr>
            <w:sz w:val="20"/>
            <w:color w:val="0000ff"/>
          </w:rPr>
          <w:t xml:space="preserve">Блоку 3</w:t>
        </w:r>
      </w:hyperlink>
      <w:r>
        <w:rPr>
          <w:sz w:val="20"/>
        </w:rPr>
        <w:t xml:space="preserve"> "Государственная итоговая аттестация" в соответствии с учебным планом.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Электронная информационно-образовательная среда Организации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электронного портфолио обучающегося, в том числе сохранение его работ и оценок за эти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фиксацию хода образовательного процесса, результатов промежуточной аттестации и результатов освоения программы магистратуры;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20" w:tooltip="Федеральный закон от 27.07.2006 N 149-ФЗ (ред. от 12.12.2023) &quot;Об информации, информационных технологиях и о защите информ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w:history="0" r:id="rId21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Требования к материально-техническому и учебно-методическому обеспечению программы магистратуры.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замена оборудования его виртуальными аналогами.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кадровым условиям реализации программы магистратуры.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финансовым условиям реализации программы магистратуры.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22" w:tooltip="Постановление Правительства РФ от 26.06.2015 N 640 (ред. от 16.05.2023) &quot;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&quot; (вместе с &quot;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 {КонсультантПлюс}">
        <w:r>
          <w:rPr>
            <w:sz w:val="20"/>
            <w:color w:val="0000ff"/>
          </w:rPr>
          <w:t xml:space="preserve">Пункт 10</w:t>
        </w:r>
      </w:hyperlink>
      <w:r>
        <w:rPr>
          <w:sz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федеральному государственному</w:t>
      </w:r>
    </w:p>
    <w:p>
      <w:pPr>
        <w:pStyle w:val="0"/>
        <w:jc w:val="right"/>
      </w:pPr>
      <w:r>
        <w:rPr>
          <w:sz w:val="20"/>
        </w:rPr>
        <w:t xml:space="preserve">образовательному стандарту высшего</w:t>
      </w:r>
    </w:p>
    <w:p>
      <w:pPr>
        <w:pStyle w:val="0"/>
        <w:jc w:val="right"/>
      </w:pPr>
      <w:r>
        <w:rPr>
          <w:sz w:val="20"/>
        </w:rPr>
        <w:t xml:space="preserve">образования - магистратура</w:t>
      </w:r>
    </w:p>
    <w:p>
      <w:pPr>
        <w:pStyle w:val="0"/>
        <w:jc w:val="right"/>
      </w:pPr>
      <w:r>
        <w:rPr>
          <w:sz w:val="20"/>
        </w:rPr>
        <w:t xml:space="preserve">по направлению подготовки 34.04.01</w:t>
      </w:r>
    </w:p>
    <w:p>
      <w:pPr>
        <w:pStyle w:val="0"/>
        <w:jc w:val="right"/>
      </w:pPr>
      <w:r>
        <w:rPr>
          <w:sz w:val="20"/>
        </w:rPr>
        <w:t xml:space="preserve">Управление сестринской деятельностью,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науки 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мая 2020 г. N 684</w:t>
      </w:r>
    </w:p>
    <w:p>
      <w:pPr>
        <w:pStyle w:val="0"/>
        <w:jc w:val="both"/>
      </w:pPr>
      <w:r>
        <w:rPr>
          <w:sz w:val="20"/>
        </w:rPr>
      </w:r>
    </w:p>
    <w:bookmarkStart w:id="260" w:name="P260"/>
    <w:bookmarkEnd w:id="26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ПРОФЕССИОНАЛЬНЫХ СТАНДАРТОВ, СООТВЕТСТВУЮЩИХ</w:t>
      </w:r>
    </w:p>
    <w:p>
      <w:pPr>
        <w:pStyle w:val="2"/>
        <w:jc w:val="center"/>
      </w:pPr>
      <w:r>
        <w:rPr>
          <w:sz w:val="20"/>
        </w:rPr>
        <w:t xml:space="preserve">ПРОФЕССИОНАЛЬНОЙ ДЕЯТЕЛЬНОСТИ ВЫПУСКНИКОВ, ОСВОИВШИХ</w:t>
      </w:r>
    </w:p>
    <w:p>
      <w:pPr>
        <w:pStyle w:val="2"/>
        <w:jc w:val="center"/>
      </w:pPr>
      <w:r>
        <w:rPr>
          <w:sz w:val="20"/>
        </w:rPr>
        <w:t xml:space="preserve">ПРОГРАММУ МАГИСТРАТУРЫ ПО НАПРАВЛЕНИЮ ПОДГОТОВКИ</w:t>
      </w:r>
    </w:p>
    <w:p>
      <w:pPr>
        <w:pStyle w:val="2"/>
        <w:jc w:val="center"/>
      </w:pPr>
      <w:r>
        <w:rPr>
          <w:sz w:val="20"/>
        </w:rPr>
        <w:t xml:space="preserve">34.04.01 УПРАВЛЕНИЕ СЕСТРИНСКОЙ ДЕЯТЕЛЬНОСТЬЮ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587"/>
        <w:gridCol w:w="6917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профессионального стандарта</w:t>
            </w:r>
          </w:p>
        </w:tc>
        <w:tc>
          <w:tcPr>
            <w:tcW w:w="69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области профессиональной деятельности. Наименование профессионального стандарта</w:t>
            </w:r>
          </w:p>
        </w:tc>
      </w:tr>
      <w:tr>
        <w:tc>
          <w:tcPr>
            <w:gridSpan w:val="3"/>
            <w:tcW w:w="9071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02 Здравоохранение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02.022</w:t>
            </w:r>
          </w:p>
        </w:tc>
        <w:tc>
          <w:tcPr>
            <w:tcW w:w="6917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Профессиональный </w:t>
            </w:r>
            <w:hyperlink w:history="0" r:id="rId23" w:tooltip="Приказ Минтруда России от 07.11.2017 N 768н &quot;Об утверждении профессионального стандарта &quot;Специалист в области организации здравоохранения и общественного здоровья&quot; (Зарегистрировано в Минюсте России 29.11.2017 N 49047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  <w:r>
              <w:rPr>
                <w:sz w:val="20"/>
              </w:rPr>
              <w:t xml:space="preserve"> "Специалист в области организации здравоохранения и общественного здоровья", утвержденный приказом Министерства труда и социальной защиты Российской Федерации от 7 ноября 2017 г. N 768н (зарегистрирован Министерством юстиции Российской Федерации 29 ноября 2017 г., регистрационный N 49047)</w:t>
            </w:r>
          </w:p>
        </w:tc>
      </w:tr>
      <w:tr>
        <w:tc>
          <w:tcPr>
            <w:gridSpan w:val="3"/>
            <w:tcW w:w="9071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07 Административно-управленческая и офисная деятельность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07.003</w:t>
            </w:r>
          </w:p>
        </w:tc>
        <w:tc>
          <w:tcPr>
            <w:tcW w:w="6917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Профессиональный </w:t>
            </w:r>
            <w:hyperlink w:history="0" r:id="rId24" w:tooltip="Приказ Минтруда России от 06.10.2015 N 691н &quot;Об утверждении профессионального стандарта &quot;Специалист по управлению персоналом&quot; (Зарегистрировано в Минюсте России 19.10.2015 N 3936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  <w:r>
              <w:rPr>
                <w:sz w:val="20"/>
              </w:rPr>
              <w:t xml:space="preserve"> "Специалист по управлению персоналом", утвержденный приказом Министерства труда и социальной защиты Российской Федерации от 6 октября 2015 г. N 691н (зарегистрирован Министерством юстиции Российской Федерации 19 октября 2015 г., регистрационный N 39362)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26.05.2020 N 684</w:t>
            <w:br/>
            <w:t>"Об утверждении федерального государственного образовательного стандарта 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79828&amp;dst=100059" TargetMode = "External"/>
	<Relationship Id="rId8" Type="http://schemas.openxmlformats.org/officeDocument/2006/relationships/hyperlink" Target="https://login.consultant.ru/link/?req=doc&amp;base=LAW&amp;n=481262&amp;dst=100072" TargetMode = "External"/>
	<Relationship Id="rId9" Type="http://schemas.openxmlformats.org/officeDocument/2006/relationships/hyperlink" Target="https://login.consultant.ru/link/?req=doc&amp;base=LAW&amp;n=478592&amp;dst=217" TargetMode = "External"/>
	<Relationship Id="rId10" Type="http://schemas.openxmlformats.org/officeDocument/2006/relationships/hyperlink" Target="https://login.consultant.ru/link/?req=doc&amp;base=LAW&amp;n=478592&amp;dst=100249" TargetMode = "External"/>
	<Relationship Id="rId11" Type="http://schemas.openxmlformats.org/officeDocument/2006/relationships/hyperlink" Target="https://login.consultant.ru/link/?req=doc&amp;base=LAW&amp;n=214720&amp;dst=100047" TargetMode = "External"/>
	<Relationship Id="rId12" Type="http://schemas.openxmlformats.org/officeDocument/2006/relationships/hyperlink" Target="https://login.consultant.ru/link/?req=doc&amp;base=LAW&amp;n=214720&amp;dst=100050" TargetMode = "External"/>
	<Relationship Id="rId13" Type="http://schemas.openxmlformats.org/officeDocument/2006/relationships/hyperlink" Target="https://login.consultant.ru/link/?req=doc&amp;base=LAW&amp;n=214720&amp;dst=100052" TargetMode = "External"/>
	<Relationship Id="rId14" Type="http://schemas.openxmlformats.org/officeDocument/2006/relationships/hyperlink" Target="https://login.consultant.ru/link/?req=doc&amp;base=LAW&amp;n=214720&amp;dst=100062" TargetMode = "External"/>
	<Relationship Id="rId15" Type="http://schemas.openxmlformats.org/officeDocument/2006/relationships/hyperlink" Target="https://login.consultant.ru/link/?req=doc&amp;base=LAW&amp;n=154176&amp;dst=100009" TargetMode = "External"/>
	<Relationship Id="rId16" Type="http://schemas.openxmlformats.org/officeDocument/2006/relationships/hyperlink" Target="https://login.consultant.ru/link/?req=doc&amp;base=LAW&amp;n=154176" TargetMode = "External"/>
	<Relationship Id="rId17" Type="http://schemas.openxmlformats.org/officeDocument/2006/relationships/hyperlink" Target="http://profstandart.rosmintrud.ru" TargetMode = "External"/>
	<Relationship Id="rId18" Type="http://schemas.openxmlformats.org/officeDocument/2006/relationships/hyperlink" Target="https://login.consultant.ru/link/?req=doc&amp;base=LAW&amp;n=214720&amp;dst=100006" TargetMode = "External"/>
	<Relationship Id="rId19" Type="http://schemas.openxmlformats.org/officeDocument/2006/relationships/hyperlink" Target="https://login.consultant.ru/link/?req=doc&amp;base=LAW&amp;n=146970" TargetMode = "External"/>
	<Relationship Id="rId20" Type="http://schemas.openxmlformats.org/officeDocument/2006/relationships/hyperlink" Target="https://login.consultant.ru/link/?req=doc&amp;base=LAW&amp;n=464157" TargetMode = "External"/>
	<Relationship Id="rId21" Type="http://schemas.openxmlformats.org/officeDocument/2006/relationships/hyperlink" Target="https://login.consultant.ru/link/?req=doc&amp;base=LAW&amp;n=439201" TargetMode = "External"/>
	<Relationship Id="rId22" Type="http://schemas.openxmlformats.org/officeDocument/2006/relationships/hyperlink" Target="https://login.consultant.ru/link/?req=doc&amp;base=LAW&amp;n=447397&amp;dst=100947" TargetMode = "External"/>
	<Relationship Id="rId23" Type="http://schemas.openxmlformats.org/officeDocument/2006/relationships/hyperlink" Target="https://login.consultant.ru/link/?req=doc&amp;base=LAW&amp;n=284077&amp;dst=100009" TargetMode = "External"/>
	<Relationship Id="rId24" Type="http://schemas.openxmlformats.org/officeDocument/2006/relationships/hyperlink" Target="https://login.consultant.ru/link/?req=doc&amp;base=LAW&amp;n=187770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26.05.2020 N 684
"Об утверждении федерального государственного образовательного стандарта высшего образования - магистратура по направлению подготовки 34.04.01 Управление сестринской деятельностью"
(Зарегистрировано в Минюсте России 03.07.2020 N 58816)</dc:title>
  <dcterms:created xsi:type="dcterms:W3CDTF">2024-08-16T08:54:46Z</dcterms:created>
</cp:coreProperties>
</file>